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40" w:after="80"/>
      </w:pPr>
      <w:r>
        <w:rPr>
          <w:rFonts w:ascii="Calibri" w:hAnsi="Calibri"/>
          <w:b/>
          <w:i w:val="0"/>
          <w:color w:val="E8A84C"/>
          <w:sz w:val="32"/>
        </w:rPr>
        <w:t>STATEMENT OF WORK</w:t>
      </w:r>
    </w:p>
    <w:p>
      <w:r>
        <w:rPr>
          <w:rFonts w:ascii="Calibri" w:hAnsi="Calibri"/>
          <w:b w:val="0"/>
          <w:i w:val="0"/>
          <w:color w:val="666666"/>
          <w:sz w:val="26"/>
        </w:rPr>
        <w:t>Managed AI Workforce Intelligence Deployment — Operations</w:t>
      </w:r>
    </w:p>
    <w:p/>
    <w:p>
      <w:pPr>
        <w:spacing w:after="120"/>
      </w:pPr>
      <w:r>
        <w:rPr>
          <w:rFonts w:ascii="Calibri" w:hAnsi="Calibri"/>
          <w:b w:val="0"/>
          <w:i w:val="0"/>
          <w:color w:val="666666"/>
          <w:sz w:val="22"/>
        </w:rPr>
        <w:t>Prepared For: Chronic USA</w:t>
      </w:r>
    </w:p>
    <w:p>
      <w:pPr>
        <w:spacing w:after="120"/>
      </w:pPr>
      <w:r>
        <w:rPr>
          <w:rFonts w:ascii="Calibri" w:hAnsi="Calibri"/>
          <w:b w:val="0"/>
          <w:i w:val="0"/>
          <w:color w:val="666666"/>
          <w:sz w:val="22"/>
        </w:rPr>
        <w:t>Prepared By: VeloXP LLC</w:t>
      </w:r>
    </w:p>
    <w:p>
      <w:pPr>
        <w:spacing w:after="120"/>
      </w:pPr>
      <w:r>
        <w:rPr>
          <w:rFonts w:ascii="Calibri" w:hAnsi="Calibri"/>
          <w:b w:val="0"/>
          <w:i w:val="0"/>
          <w:color w:val="666666"/>
          <w:sz w:val="22"/>
        </w:rPr>
        <w:t>Date: May 01, 2026</w:t>
      </w:r>
    </w:p>
    <w:p>
      <w:pPr>
        <w:spacing w:after="120"/>
      </w:pPr>
      <w:r>
        <w:rPr>
          <w:rFonts w:ascii="Calibri" w:hAnsi="Calibri"/>
          <w:b w:val="0"/>
          <w:i w:val="0"/>
          <w:color w:val="666666"/>
          <w:sz w:val="22"/>
        </w:rPr>
        <w:t>Engagement Tier: Growth</w:t>
      </w:r>
    </w:p>
    <w:p>
      <w:r>
        <w:rPr>
          <w:rFonts w:ascii="Calibri" w:hAnsi="Calibri"/>
          <w:b/>
          <w:i w:val="0"/>
          <w:color w:val="E8A84C"/>
          <w:sz w:val="24"/>
        </w:rPr>
        <w:t>[ DRAFT — SUBJECT TO REVIEW ]</w:t>
      </w:r>
    </w:p>
    <w:p/>
    <w:p>
      <w:pPr>
        <w:spacing w:before="240" w:after="80"/>
      </w:pPr>
      <w:r>
        <w:rPr>
          <w:rFonts w:ascii="Calibri" w:hAnsi="Calibri"/>
          <w:b/>
          <w:i w:val="0"/>
          <w:color w:val="E8A84C"/>
          <w:sz w:val="32"/>
        </w:rPr>
        <w:t>1. Introduction</w:t>
      </w:r>
    </w:p>
    <w:p>
      <w:pPr>
        <w:spacing w:after="120"/>
      </w:pPr>
      <w:r>
        <w:rPr>
          <w:rFonts w:ascii="Calibri" w:hAnsi="Calibri"/>
          <w:b w:val="0"/>
          <w:i w:val="0"/>
          <w:color w:val="666666"/>
          <w:sz w:val="22"/>
        </w:rPr>
        <w:t>This Statement of Work (SOW) outlines the scope, structure, and delivery plan for VeloXP LLC's Managed AI Workforce deployment for Chronic USA. The engagement delivers a dedicated team of AI agents customized to the operational needs of your practice, coordinated by VeloXP and supervised by your designated human stakeholders.</w:t>
      </w:r>
    </w:p>
    <w:p>
      <w:pPr>
        <w:spacing w:after="120"/>
      </w:pPr>
      <w:r>
        <w:rPr>
          <w:rFonts w:ascii="Calibri" w:hAnsi="Calibri"/>
          <w:b w:val="0"/>
          <w:i w:val="0"/>
          <w:color w:val="666666"/>
          <w:sz w:val="22"/>
        </w:rPr>
        <w:t>The agents described in this document operate as an integrated workforce, not a software toolset. Each agent has a defined role, reporting chain, and set of capabilities aligned to your business objectives. Human approval requirements are documented for all client-facing and financial actions.</w:t>
      </w:r>
    </w:p>
    <w:p>
      <w:pPr>
        <w:spacing w:after="120"/>
      </w:pPr>
      <w:r>
        <w:rPr>
          <w:rFonts w:ascii="Calibri" w:hAnsi="Calibri"/>
          <w:b w:val="0"/>
          <w:i w:val="0"/>
          <w:color w:val="666666"/>
          <w:sz w:val="22"/>
        </w:rPr>
        <w:t>This document is a working draft. All terms, pricing, and scope are subject to review and mutual agreement prior to execution.</w:t>
      </w:r>
    </w:p>
    <w:p>
      <w:pPr>
        <w:spacing w:before="240" w:after="80"/>
      </w:pPr>
      <w:r>
        <w:rPr>
          <w:rFonts w:ascii="Calibri" w:hAnsi="Calibri"/>
          <w:b/>
          <w:i w:val="0"/>
          <w:color w:val="E8A84C"/>
          <w:sz w:val="32"/>
        </w:rPr>
        <w:t>2. Parties</w:t>
      </w:r>
    </w:p>
    <w:tbl>
      <w:tblPr>
        <w:jc w:val="left"/>
        <w:tblLook w:firstColumn="1" w:firstRow="1" w:lastColumn="0" w:lastRow="0" w:noHBand="0" w:noVBand="1" w:val="04A0"/>
        <w:tblW w:w="10080" w:type="dxa"/>
        <w:tblLayout w:type="fixed"/>
      </w:tblPr>
      <w:tblGrid>
        <w:gridCol w:w="4652"/>
        <w:gridCol w:w="5428"/>
      </w:tblGrid>
      <w:tr>
        <w:tc>
          <w:tcPr>
            <w:tcW w:w="4652" w:type="dxa"/>
            <w:shd w:val="clear" w:color="auto" w:fill="1A1A1A"/>
            <w:tcBorders>
              <w:top w:val="single" w:sz="4" w:space="0" w:color="D0D0D0"/>
              <w:left w:val="single" w:sz="4" w:space="0" w:color="D0D0D0"/>
              <w:bottom w:val="single" w:sz="4" w:space="0" w:color="D0D0D0"/>
              <w:right w:val="single" w:sz="4" w:space="0" w:color="D0D0D0"/>
            </w:tcBorders>
          </w:tcPr>
          <w:p>
            <w:r/>
            <w:r>
              <w:rPr>
                <w:rFonts w:ascii="Calibri" w:hAnsi="Calibri"/>
                <w:b/>
                <w:i w:val="0"/>
                <w:color w:val="FFFFFF"/>
                <w:sz w:val="22"/>
              </w:rPr>
              <w:t>VeloXP LLC</w:t>
            </w:r>
          </w:p>
        </w:tc>
        <w:tc>
          <w:tcPr>
            <w:tcW w:w="5428" w:type="dxa"/>
            <w:shd w:val="clear" w:color="auto" w:fill="1A1A1A"/>
            <w:tcBorders>
              <w:top w:val="single" w:sz="4" w:space="0" w:color="D0D0D0"/>
              <w:left w:val="single" w:sz="4" w:space="0" w:color="D0D0D0"/>
              <w:bottom w:val="single" w:sz="4" w:space="0" w:color="D0D0D0"/>
              <w:right w:val="single" w:sz="4" w:space="0" w:color="D0D0D0"/>
            </w:tcBorders>
          </w:tcPr>
          <w:p>
            <w:r/>
            <w:r>
              <w:rPr>
                <w:rFonts w:ascii="Calibri" w:hAnsi="Calibri"/>
                <w:b/>
                <w:i w:val="0"/>
                <w:color w:val="FFFFFF"/>
                <w:sz w:val="22"/>
              </w:rPr>
              <w:t>Chronic USA</w:t>
            </w:r>
          </w:p>
        </w:tc>
      </w:tr>
      <w:tr>
        <w:tc>
          <w:tcPr>
            <w:tcW w:w="4652"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Max Koby, CEO</w:t>
            </w:r>
          </w:p>
        </w:tc>
        <w:tc>
          <w:tcPr>
            <w:tcW w:w="5428"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Erica</w:t>
            </w:r>
          </w:p>
        </w:tc>
      </w:tr>
      <w:tr>
        <w:tc>
          <w:tcPr>
            <w:tcW w:w="4652" w:type="dxa"/>
            <w:shd w:val="clear" w:color="auto" w:fill="FFFFFF"/>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max@veloxp.com</w:t>
            </w:r>
          </w:p>
        </w:tc>
        <w:tc>
          <w:tcPr>
            <w:tcW w:w="5428" w:type="dxa"/>
            <w:shd w:val="clear" w:color="auto" w:fill="FFFFFF"/>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None</w:t>
            </w:r>
          </w:p>
        </w:tc>
      </w:tr>
      <w:tr>
        <w:tc>
          <w:tcPr>
            <w:tcW w:w="4652"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(949) 490-6629</w:t>
            </w:r>
          </w:p>
        </w:tc>
        <w:tc>
          <w:tcPr>
            <w:tcW w:w="5428"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r>
          </w:p>
        </w:tc>
      </w:tr>
      <w:tr>
        <w:tc>
          <w:tcPr>
            <w:tcW w:w="4652" w:type="dxa"/>
            <w:shd w:val="clear" w:color="auto" w:fill="FFFFFF"/>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San Clemente, CA</w:t>
            </w:r>
          </w:p>
        </w:tc>
        <w:tc>
          <w:tcPr>
            <w:tcW w:w="5428" w:type="dxa"/>
            <w:shd w:val="clear" w:color="auto" w:fill="FFFFFF"/>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r>
          </w:p>
        </w:tc>
      </w:tr>
    </w:tbl>
    <w:p/>
    <w:p>
      <w:pPr>
        <w:spacing w:before="240" w:after="80"/>
      </w:pPr>
      <w:r>
        <w:rPr>
          <w:rFonts w:ascii="Calibri" w:hAnsi="Calibri"/>
          <w:b/>
          <w:i w:val="0"/>
          <w:color w:val="E8A84C"/>
          <w:sz w:val="32"/>
        </w:rPr>
        <w:t>3. Client Team &amp; Stakeholders</w:t>
      </w:r>
    </w:p>
    <w:p>
      <w:pPr>
        <w:spacing w:before="240" w:after="80"/>
      </w:pPr>
      <w:r>
        <w:rPr>
          <w:rFonts w:ascii="Calibri" w:hAnsi="Calibri"/>
          <w:b/>
          <w:i w:val="0"/>
          <w:color w:val="1A1A1A"/>
          <w:sz w:val="26"/>
        </w:rPr>
        <w:t>Other</w:t>
      </w:r>
    </w:p>
    <w:tbl>
      <w:tblPr>
        <w:jc w:val="left"/>
        <w:tblLook w:firstColumn="1" w:firstRow="1" w:lastColumn="0" w:lastRow="0" w:noHBand="0" w:noVBand="1" w:val="04A0"/>
        <w:tblW w:w="10080" w:type="dxa"/>
        <w:tblLayout w:type="fixed"/>
      </w:tblPr>
      <w:tblGrid>
        <w:gridCol w:w="2880"/>
        <w:gridCol w:w="3600"/>
        <w:gridCol w:w="3600"/>
      </w:tblGrid>
      <w:tr>
        <w:tc>
          <w:tcPr>
            <w:tcW w:w="2880" w:type="dxa"/>
            <w:shd w:val="clear" w:color="auto" w:fill="1A1A1A"/>
            <w:tcBorders>
              <w:top w:val="single" w:sz="4" w:space="0" w:color="D0D0D0"/>
              <w:left w:val="single" w:sz="4" w:space="0" w:color="D0D0D0"/>
              <w:bottom w:val="single" w:sz="4" w:space="0" w:color="D0D0D0"/>
              <w:right w:val="single" w:sz="4" w:space="0" w:color="D0D0D0"/>
            </w:tcBorders>
          </w:tcPr>
          <w:p>
            <w:r/>
            <w:r>
              <w:rPr>
                <w:rFonts w:ascii="Calibri" w:hAnsi="Calibri"/>
                <w:b/>
                <w:i w:val="0"/>
                <w:color w:val="FFFFFF"/>
                <w:sz w:val="22"/>
              </w:rPr>
              <w:t>Name</w:t>
            </w:r>
          </w:p>
        </w:tc>
        <w:tc>
          <w:tcPr>
            <w:tcW w:w="3600" w:type="dxa"/>
            <w:shd w:val="clear" w:color="auto" w:fill="1A1A1A"/>
            <w:tcBorders>
              <w:top w:val="single" w:sz="4" w:space="0" w:color="D0D0D0"/>
              <w:left w:val="single" w:sz="4" w:space="0" w:color="D0D0D0"/>
              <w:bottom w:val="single" w:sz="4" w:space="0" w:color="D0D0D0"/>
              <w:right w:val="single" w:sz="4" w:space="0" w:color="D0D0D0"/>
            </w:tcBorders>
          </w:tcPr>
          <w:p>
            <w:r/>
            <w:r>
              <w:rPr>
                <w:rFonts w:ascii="Calibri" w:hAnsi="Calibri"/>
                <w:b/>
                <w:i w:val="0"/>
                <w:color w:val="FFFFFF"/>
                <w:sz w:val="22"/>
              </w:rPr>
              <w:t>Title</w:t>
            </w:r>
          </w:p>
        </w:tc>
        <w:tc>
          <w:tcPr>
            <w:tcW w:w="3600" w:type="dxa"/>
            <w:shd w:val="clear" w:color="auto" w:fill="1A1A1A"/>
            <w:tcBorders>
              <w:top w:val="single" w:sz="4" w:space="0" w:color="D0D0D0"/>
              <w:left w:val="single" w:sz="4" w:space="0" w:color="D0D0D0"/>
              <w:bottom w:val="single" w:sz="4" w:space="0" w:color="D0D0D0"/>
              <w:right w:val="single" w:sz="4" w:space="0" w:color="D0D0D0"/>
            </w:tcBorders>
          </w:tcPr>
          <w:p>
            <w:r/>
            <w:r>
              <w:rPr>
                <w:rFonts w:ascii="Calibri" w:hAnsi="Calibri"/>
                <w:b/>
                <w:i w:val="0"/>
                <w:color w:val="FFFFFF"/>
                <w:sz w:val="22"/>
              </w:rPr>
              <w:t>Email</w:t>
            </w:r>
          </w:p>
        </w:tc>
      </w:tr>
      <w:tr>
        <w:tc>
          <w:tcPr>
            <w:tcW w:w="2880"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Erica</w:t>
            </w:r>
          </w:p>
        </w:tc>
        <w:tc>
          <w:tcPr>
            <w:tcW w:w="3600"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Founder / Principal</w:t>
            </w:r>
          </w:p>
        </w:tc>
        <w:tc>
          <w:tcPr>
            <w:tcW w:w="3600"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None</w:t>
            </w:r>
          </w:p>
        </w:tc>
      </w:tr>
    </w:tbl>
    <w:p/>
    <w:p>
      <w:r>
        <w:br w:type="page"/>
      </w:r>
    </w:p>
    <w:p>
      <w:pPr>
        <w:spacing w:before="240" w:after="80"/>
      </w:pPr>
      <w:r>
        <w:rPr>
          <w:rFonts w:ascii="Calibri" w:hAnsi="Calibri"/>
          <w:b/>
          <w:i w:val="0"/>
          <w:color w:val="E8A84C"/>
          <w:sz w:val="32"/>
        </w:rPr>
        <w:t>4. Scope of Services</w:t>
      </w:r>
    </w:p>
    <w:p>
      <w:pPr>
        <w:spacing w:after="120"/>
      </w:pPr>
      <w:r>
        <w:rPr>
          <w:rFonts w:ascii="Calibri" w:hAnsi="Calibri"/>
          <w:b w:val="0"/>
          <w:i w:val="0"/>
          <w:color w:val="666666"/>
          <w:sz w:val="22"/>
        </w:rPr>
        <w:t>VeloXP will deploy a Growth Managed AI Workforce for Chronic USA. The engagement is scoped to the Operations vertical and includes agent configuration, tool integrations, workflow automation, human approval structures, ongoing monitoring, and continuous improvement. All agents are managed and maintained by VeloXP. The client provides data access and designated human approvers as described in this document.</w:t>
      </w:r>
    </w:p>
    <w:p>
      <w:r>
        <w:br w:type="page"/>
      </w:r>
    </w:p>
    <w:p>
      <w:pPr>
        <w:spacing w:before="240" w:after="80"/>
      </w:pPr>
      <w:r>
        <w:rPr>
          <w:rFonts w:ascii="Calibri" w:hAnsi="Calibri"/>
          <w:b/>
          <w:i w:val="0"/>
          <w:color w:val="E8A84C"/>
          <w:sz w:val="32"/>
        </w:rPr>
        <w:t>4A. Platform Architecture</w:t>
      </w:r>
    </w:p>
    <w:p>
      <w:pPr>
        <w:spacing w:after="120"/>
      </w:pPr>
      <w:r>
        <w:rPr>
          <w:rFonts w:ascii="Calibri" w:hAnsi="Calibri"/>
          <w:b w:val="0"/>
          <w:i w:val="0"/>
          <w:color w:val="666666"/>
          <w:sz w:val="22"/>
        </w:rPr>
        <w:t>The VeloXP AI Workforce operates across three integrated infrastructure layers. This architecture is what separates a managed AI workforce from generic AI tools: every agent shares a common industry knowledge base, maintains a Chronic USA-specific intelligence layer, and is coordinated and monitored in real time through Mission Control.</w:t>
      </w:r>
    </w:p>
    <w:p/>
    <w:p>
      <w:pPr>
        <w:spacing w:before="240" w:after="80"/>
      </w:pPr>
      <w:r>
        <w:rPr>
          <w:rFonts w:ascii="Calibri" w:hAnsi="Calibri"/>
          <w:b/>
          <w:i w:val="0"/>
          <w:color w:val="1A1A1A"/>
          <w:sz w:val="26"/>
        </w:rPr>
        <w:t>Layer 1 — Industry World Model</w:t>
      </w:r>
    </w:p>
    <w:p>
      <w:pPr>
        <w:spacing w:after="120"/>
      </w:pPr>
      <w:r>
        <w:rPr>
          <w:rFonts w:ascii="Calibri" w:hAnsi="Calibri"/>
          <w:b w:val="0"/>
          <w:i w:val="0"/>
          <w:color w:val="666666"/>
          <w:sz w:val="22"/>
        </w:rPr>
        <w:t>VeloXP maintains a proprietary medical aesthetics and plastic surgery industry model trained on anonymized operational patterns across our client base. This model provides:</w:t>
      </w:r>
    </w:p>
    <w:p>
      <w:pPr>
        <w:pStyle w:val="ListBullet"/>
        <w:spacing w:after="60"/>
        <w:ind w:left="360"/>
      </w:pPr>
      <w:r>
        <w:rPr>
          <w:rFonts w:ascii="Calibri" w:hAnsi="Calibri"/>
          <w:b w:val="0"/>
          <w:i w:val="0"/>
          <w:color w:val="666666"/>
          <w:sz w:val="22"/>
        </w:rPr>
        <w:t>Industry benchmarks: how leading plastic surgery practices structure patient acquisition, consultation conversion, and procedure mix</w:t>
      </w:r>
    </w:p>
    <w:p>
      <w:pPr>
        <w:pStyle w:val="ListBullet"/>
        <w:spacing w:after="60"/>
        <w:ind w:left="360"/>
      </w:pPr>
      <w:r>
        <w:rPr>
          <w:rFonts w:ascii="Calibri" w:hAnsi="Calibri"/>
          <w:b w:val="0"/>
          <w:i w:val="0"/>
          <w:color w:val="666666"/>
          <w:sz w:val="22"/>
        </w:rPr>
        <w:t>Best-practice workflows: proven process patterns for inquiry response, scheduling, review management, and AI visibility — distilled from real operational data</w:t>
      </w:r>
    </w:p>
    <w:p>
      <w:pPr>
        <w:pStyle w:val="ListBullet"/>
        <w:spacing w:after="60"/>
        <w:ind w:left="360"/>
      </w:pPr>
      <w:r>
        <w:rPr>
          <w:rFonts w:ascii="Calibri" w:hAnsi="Calibri"/>
          <w:b w:val="0"/>
          <w:i w:val="0"/>
          <w:color w:val="666666"/>
          <w:sz w:val="22"/>
        </w:rPr>
        <w:t>Risk pattern recognition: early warning signals calibrated to aesthetic medicine failure modes — no-show spikes, review drops, inquiry decay</w:t>
      </w:r>
    </w:p>
    <w:p>
      <w:pPr>
        <w:pStyle w:val="ListBullet"/>
        <w:spacing w:after="60"/>
        <w:ind w:left="360"/>
      </w:pPr>
      <w:r>
        <w:rPr>
          <w:rFonts w:ascii="Calibri" w:hAnsi="Calibri"/>
          <w:b w:val="0"/>
          <w:i w:val="0"/>
          <w:color w:val="666666"/>
          <w:sz w:val="22"/>
        </w:rPr>
        <w:t>AI platform intelligence: maps how ChatGPT, Perplexity, and Google AI surface plastic surgery recommendations, and which trust signals drive citations</w:t>
      </w:r>
    </w:p>
    <w:p>
      <w:pPr>
        <w:spacing w:after="120"/>
      </w:pPr>
      <w:r>
        <w:rPr>
          <w:rFonts w:ascii="Calibri" w:hAnsi="Calibri"/>
          <w:b w:val="0"/>
          <w:i w:val="0"/>
          <w:color w:val="666666"/>
          <w:sz w:val="22"/>
        </w:rPr>
        <w:t>This is not generic AI. It is a specialized model that understands medical aesthetics at a level no general-purpose tool can match, because it learns from real practices doing real work.</w:t>
      </w:r>
    </w:p>
    <w:p/>
    <w:p>
      <w:pPr>
        <w:spacing w:before="240" w:after="80"/>
      </w:pPr>
      <w:r>
        <w:rPr>
          <w:rFonts w:ascii="Calibri" w:hAnsi="Calibri"/>
          <w:b/>
          <w:i w:val="0"/>
          <w:color w:val="1A1A1A"/>
          <w:sz w:val="26"/>
        </w:rPr>
        <w:t>Layer 2 — Intelligence Layer (CosmetiCare-Specific)</w:t>
      </w:r>
    </w:p>
    <w:p>
      <w:pPr>
        <w:spacing w:after="120"/>
      </w:pPr>
      <w:r>
        <w:rPr>
          <w:rFonts w:ascii="Calibri" w:hAnsi="Calibri"/>
          <w:b w:val="0"/>
          <w:i w:val="0"/>
          <w:color w:val="666666"/>
          <w:sz w:val="22"/>
        </w:rPr>
        <w:t>On top of the industry model, each agent maintains a Chronic USA-specific intelligence layer:</w:t>
      </w:r>
    </w:p>
    <w:p>
      <w:pPr>
        <w:pStyle w:val="ListBullet"/>
        <w:spacing w:after="60"/>
        <w:ind w:left="360"/>
      </w:pPr>
      <w:r>
        <w:rPr>
          <w:rFonts w:ascii="Calibri" w:hAnsi="Calibri"/>
          <w:b w:val="0"/>
          <w:i w:val="0"/>
          <w:color w:val="666666"/>
          <w:sz w:val="22"/>
        </w:rPr>
        <w:t>Organizational memory: every correction, preference, and approval pattern from Chronic USA's team is captured and used to improve accuracy over time</w:t>
      </w:r>
    </w:p>
    <w:p>
      <w:pPr>
        <w:pStyle w:val="ListBullet"/>
        <w:spacing w:after="60"/>
        <w:ind w:left="360"/>
      </w:pPr>
      <w:r>
        <w:rPr>
          <w:rFonts w:ascii="Calibri" w:hAnsi="Calibri"/>
          <w:b w:val="0"/>
          <w:i w:val="0"/>
          <w:color w:val="666666"/>
          <w:sz w:val="22"/>
        </w:rPr>
        <w:t>Container isolation: Chronic USA's data is partitioned at the infrastructure level. No cross-client data access. No shared memory. Complete isolation enforced by architecture, not policy.</w:t>
      </w:r>
    </w:p>
    <w:p>
      <w:pPr>
        <w:pStyle w:val="ListBullet"/>
        <w:spacing w:after="60"/>
        <w:ind w:left="360"/>
      </w:pPr>
      <w:r>
        <w:rPr>
          <w:rFonts w:ascii="Calibri" w:hAnsi="Calibri"/>
          <w:b w:val="0"/>
          <w:i w:val="0"/>
          <w:color w:val="666666"/>
          <w:sz w:val="22"/>
        </w:rPr>
        <w:t>Self-improving feedback loops: when your team corrects an agent output, that correction trains the agent. Over time, agents require fewer corrections and produce higher-quality work.</w:t>
      </w:r>
    </w:p>
    <w:p>
      <w:pPr>
        <w:pStyle w:val="ListBullet"/>
        <w:spacing w:after="60"/>
        <w:ind w:left="360"/>
      </w:pPr>
      <w:r>
        <w:rPr>
          <w:rFonts w:ascii="Calibri" w:hAnsi="Calibri"/>
          <w:b w:val="0"/>
          <w:i w:val="0"/>
          <w:color w:val="666666"/>
          <w:sz w:val="22"/>
        </w:rPr>
        <w:t>Procedure and patient context: agents learn CosmetiCare's procedure mix, consultation conversion rates, inquiry behavior, and seasonal demand patterns — and apply that context to every output.</w:t>
      </w:r>
    </w:p>
    <w:p/>
    <w:p>
      <w:pPr>
        <w:spacing w:before="240" w:after="80"/>
      </w:pPr>
      <w:r>
        <w:rPr>
          <w:rFonts w:ascii="Calibri" w:hAnsi="Calibri"/>
          <w:b/>
          <w:i w:val="0"/>
          <w:color w:val="1A1A1A"/>
          <w:sz w:val="26"/>
        </w:rPr>
        <w:t>Agent Roster — Intelligence Layer</w:t>
      </w:r>
    </w:p>
    <w:p>
      <w:pPr>
        <w:spacing w:after="120"/>
      </w:pPr>
      <w:r>
        <w:rPr>
          <w:rFonts w:ascii="Calibri" w:hAnsi="Calibri"/>
          <w:b w:val="0"/>
          <w:i w:val="0"/>
          <w:color w:val="666666"/>
          <w:sz w:val="22"/>
        </w:rPr>
        <w:t>The following agents are deployed as part of the CosmetiCare Intelligence Layer. Each agent operates with a defined role, reporting chain, human QA reviewer, and capability set. Agents operate as managed employees: they receive tasks, execute within defined guardrails, report to human QA reviewers, and escalate all exceptions before acting.</w:t>
      </w:r>
    </w:p>
    <w:p/>
    <w:p/>
    <w:p>
      <w:pPr>
        <w:spacing w:before="240" w:after="80"/>
      </w:pPr>
      <w:r>
        <w:rPr>
          <w:rFonts w:ascii="Calibri" w:hAnsi="Calibri"/>
          <w:b/>
          <w:i w:val="0"/>
          <w:color w:val="1A1A1A"/>
          <w:sz w:val="26"/>
        </w:rPr>
        <w:t>Layer 3 — Human Interface Layer</w:t>
      </w:r>
    </w:p>
    <w:p>
      <w:pPr>
        <w:spacing w:after="120"/>
      </w:pPr>
      <w:r>
        <w:rPr>
          <w:rFonts w:ascii="Calibri" w:hAnsi="Calibri"/>
          <w:b w:val="0"/>
          <w:i w:val="0"/>
          <w:color w:val="666666"/>
          <w:sz w:val="22"/>
        </w:rPr>
        <w:t>Every agent operates within a defined human oversight chain. No agent takes final action on patient communications, financial transactions, or external publishing without explicit human approval.</w:t>
      </w:r>
    </w:p>
    <w:p>
      <w:pPr>
        <w:pStyle w:val="ListBullet"/>
        <w:spacing w:after="60"/>
        <w:ind w:left="360"/>
      </w:pPr>
      <w:r>
        <w:rPr>
          <w:rFonts w:ascii="Calibri" w:hAnsi="Calibri"/>
          <w:b w:val="0"/>
          <w:i w:val="0"/>
          <w:color w:val="666666"/>
          <w:sz w:val="22"/>
        </w:rPr>
        <w:t>QA gates: no patient-facing communications, procedure pricing quotes, or external content published without your designated QA reviewer's approval</w:t>
      </w:r>
    </w:p>
    <w:p>
      <w:pPr>
        <w:pStyle w:val="ListBullet"/>
        <w:spacing w:after="60"/>
        <w:ind w:left="360"/>
      </w:pPr>
      <w:r>
        <w:rPr>
          <w:rFonts w:ascii="Calibri" w:hAnsi="Calibri"/>
          <w:b w:val="0"/>
          <w:i w:val="0"/>
          <w:color w:val="666666"/>
          <w:sz w:val="22"/>
        </w:rPr>
        <w:t>Reporting chains: every agent reports to a named human reviewer — defined in the Agent Roster above</w:t>
      </w:r>
    </w:p>
    <w:p>
      <w:pPr>
        <w:pStyle w:val="ListBullet"/>
        <w:spacing w:after="60"/>
        <w:ind w:left="360"/>
      </w:pPr>
      <w:r>
        <w:rPr>
          <w:rFonts w:ascii="Calibri" w:hAnsi="Calibri"/>
          <w:b w:val="0"/>
          <w:i w:val="0"/>
          <w:color w:val="666666"/>
          <w:sz w:val="22"/>
        </w:rPr>
        <w:t>Escalation protocols: agents flag exceptions and ambiguity rather than guessing. Humans make judgment calls.</w:t>
      </w:r>
    </w:p>
    <w:p>
      <w:pPr>
        <w:pStyle w:val="ListBullet"/>
        <w:spacing w:after="60"/>
        <w:ind w:left="360"/>
      </w:pPr>
      <w:r>
        <w:rPr>
          <w:rFonts w:ascii="Calibri" w:hAnsi="Calibri"/>
          <w:b w:val="0"/>
          <w:i w:val="0"/>
          <w:color w:val="666666"/>
          <w:sz w:val="22"/>
        </w:rPr>
        <w:t>Approval audit trail: every human approval is logged in Mission Control with timestamp, reviewer, and action taken</w:t>
      </w:r>
    </w:p>
    <w:p/>
    <w:p>
      <w:pPr>
        <w:spacing w:before="240" w:after="80"/>
      </w:pPr>
      <w:r>
        <w:rPr>
          <w:rFonts w:ascii="Calibri" w:hAnsi="Calibri"/>
          <w:b/>
          <w:i w:val="0"/>
          <w:color w:val="1A1A1A"/>
          <w:sz w:val="26"/>
        </w:rPr>
        <w:t>Mission Control — Coordination &amp; Oversight Layer</w:t>
      </w:r>
    </w:p>
    <w:p>
      <w:pPr>
        <w:spacing w:after="120"/>
      </w:pPr>
      <w:r>
        <w:rPr>
          <w:rFonts w:ascii="Calibri" w:hAnsi="Calibri"/>
          <w:b w:val="0"/>
          <w:i w:val="0"/>
          <w:color w:val="666666"/>
          <w:sz w:val="22"/>
        </w:rPr>
        <w:t>All agents are coordinated and monitored through Mission Control, VeloXP's proprietary agent operations platform. Chronic USA's team receives real-time visibility into agent activity, task queues, approval requests, and performance metrics through the Mission Control dashboard.</w:t>
      </w:r>
    </w:p>
    <w:p>
      <w:pPr>
        <w:pStyle w:val="ListBullet"/>
        <w:spacing w:after="60"/>
        <w:ind w:left="360"/>
      </w:pPr>
      <w:r>
        <w:rPr>
          <w:rFonts w:ascii="Calibri" w:hAnsi="Calibri"/>
          <w:b w:val="0"/>
          <w:i w:val="0"/>
          <w:color w:val="666666"/>
          <w:sz w:val="22"/>
        </w:rPr>
        <w:t>Real-time agent activity feed: every task executed, queued, or escalated is visible in the dashboard</w:t>
      </w:r>
    </w:p>
    <w:p>
      <w:pPr>
        <w:pStyle w:val="ListBullet"/>
        <w:spacing w:after="60"/>
        <w:ind w:left="360"/>
      </w:pPr>
      <w:r>
        <w:rPr>
          <w:rFonts w:ascii="Calibri" w:hAnsi="Calibri"/>
          <w:b w:val="0"/>
          <w:i w:val="0"/>
          <w:color w:val="666666"/>
          <w:sz w:val="22"/>
        </w:rPr>
        <w:t>Approval queue: pending human approvals surface in a dedicated queue with full context — one click to approve or redirect</w:t>
      </w:r>
    </w:p>
    <w:p>
      <w:pPr>
        <w:pStyle w:val="ListBullet"/>
        <w:spacing w:after="60"/>
        <w:ind w:left="360"/>
      </w:pPr>
      <w:r>
        <w:rPr>
          <w:rFonts w:ascii="Calibri" w:hAnsi="Calibri"/>
          <w:b w:val="0"/>
          <w:i w:val="0"/>
          <w:color w:val="666666"/>
          <w:sz w:val="22"/>
        </w:rPr>
        <w:t>KPI dashboard: consultation conversion, inquiry response time, AI visibility score, review platform ratings, and agent utilization — all in one view</w:t>
      </w:r>
    </w:p>
    <w:p>
      <w:pPr>
        <w:pStyle w:val="ListBullet"/>
        <w:spacing w:after="60"/>
        <w:ind w:left="360"/>
      </w:pPr>
      <w:r>
        <w:rPr>
          <w:rFonts w:ascii="Calibri" w:hAnsi="Calibri"/>
          <w:b w:val="0"/>
          <w:i w:val="0"/>
          <w:color w:val="666666"/>
          <w:sz w:val="22"/>
        </w:rPr>
        <w:t>Squad Chat: direct communication channel between your team and VeloXP agents, replacing ad hoc email threads</w:t>
      </w:r>
    </w:p>
    <w:p>
      <w:pPr>
        <w:pStyle w:val="ListBullet"/>
        <w:spacing w:after="60"/>
        <w:ind w:left="360"/>
      </w:pPr>
      <w:r>
        <w:rPr>
          <w:rFonts w:ascii="Calibri" w:hAnsi="Calibri"/>
          <w:b w:val="0"/>
          <w:i w:val="0"/>
          <w:color w:val="666666"/>
          <w:sz w:val="22"/>
        </w:rPr>
        <w:t>Audit trail: immutable log of all agent actions, approvals, and escalations for compliance and QA review</w:t>
      </w:r>
    </w:p>
    <w:p>
      <w:pPr>
        <w:pStyle w:val="ListBullet"/>
        <w:spacing w:after="60"/>
        <w:ind w:left="360"/>
      </w:pPr>
      <w:r>
        <w:rPr>
          <w:rFonts w:ascii="Calibri" w:hAnsi="Calibri"/>
          <w:b w:val="0"/>
          <w:i w:val="0"/>
          <w:color w:val="666666"/>
          <w:sz w:val="22"/>
        </w:rPr>
        <w:t>Performance reports: weekly automated summaries delivered to Devon and Erik every Monday morning</w:t>
      </w:r>
    </w:p>
    <w:p>
      <w:pPr>
        <w:spacing w:after="120"/>
      </w:pPr>
      <w:r>
        <w:rPr>
          <w:rFonts w:ascii="Calibri" w:hAnsi="Calibri"/>
          <w:b w:val="0"/>
          <w:i w:val="0"/>
          <w:color w:val="666666"/>
          <w:sz w:val="22"/>
        </w:rPr>
        <w:t>Mission Control is included at no additional cost for all Growth and Enterprise tier clients. Access is provisioned within 48 hours of SOW execution.</w:t>
      </w:r>
    </w:p>
    <w:p/>
    <w:p>
      <w:pPr>
        <w:spacing w:before="240" w:after="80"/>
      </w:pPr>
      <w:r>
        <w:rPr>
          <w:rFonts w:ascii="Calibri" w:hAnsi="Calibri"/>
          <w:b/>
          <w:i w:val="0"/>
          <w:color w:val="E8A84C"/>
          <w:sz w:val="32"/>
        </w:rPr>
        <w:t>5. Agent Roster</w:t>
      </w:r>
    </w:p>
    <w:p>
      <w:pPr>
        <w:spacing w:before="240" w:after="80"/>
      </w:pPr>
      <w:r>
        <w:rPr>
          <w:rFonts w:ascii="Calibri" w:hAnsi="Calibri"/>
          <w:b/>
          <w:i w:val="0"/>
          <w:color w:val="1A1A1A"/>
          <w:sz w:val="26"/>
        </w:rPr>
        <w:t>Grace — Executive Intelligence Agent</w:t>
      </w:r>
    </w:p>
    <w:p>
      <w:pPr>
        <w:spacing w:after="120"/>
      </w:pPr>
      <w:r>
        <w:rPr>
          <w:rFonts w:ascii="Calibri" w:hAnsi="Calibri"/>
          <w:b w:val="0"/>
          <w:i w:val="0"/>
          <w:color w:val="666666"/>
          <w:sz w:val="22"/>
        </w:rPr>
        <w:t>Phase: Phase 1 — Foundation (Month 1)</w:t>
      </w:r>
    </w:p>
    <w:p>
      <w:pPr>
        <w:spacing w:after="120"/>
      </w:pPr>
      <w:r>
        <w:rPr>
          <w:rFonts w:ascii="Calibri" w:hAnsi="Calibri"/>
          <w:b w:val="0"/>
          <w:i w:val="0"/>
          <w:color w:val="666666"/>
          <w:sz w:val="22"/>
        </w:rPr>
        <w:t>Reports To: Main Orchestration</w:t>
      </w:r>
    </w:p>
    <w:p>
      <w:pPr>
        <w:spacing w:after="120"/>
      </w:pPr>
      <w:r>
        <w:rPr>
          <w:rFonts w:ascii="Calibri" w:hAnsi="Calibri"/>
          <w:b w:val="0"/>
          <w:i w:val="0"/>
          <w:color w:val="666666"/>
          <w:sz w:val="22"/>
        </w:rPr>
        <w:t>Human QA: TBD (client-designated)</w:t>
      </w:r>
    </w:p>
    <w:p>
      <w:pPr>
        <w:spacing w:before="240" w:after="80"/>
      </w:pPr>
      <w:r>
        <w:rPr>
          <w:rFonts w:ascii="Calibri" w:hAnsi="Calibri"/>
          <w:b/>
          <w:i w:val="0"/>
          <w:color w:val="1A1A1A"/>
          <w:sz w:val="26"/>
        </w:rPr>
        <w:t>Capabilities</w:t>
      </w:r>
    </w:p>
    <w:p>
      <w:pPr>
        <w:pStyle w:val="ListBullet"/>
        <w:spacing w:after="60"/>
        <w:ind w:left="360"/>
      </w:pPr>
      <w:r>
        <w:rPr>
          <w:rFonts w:ascii="Calibri" w:hAnsi="Calibri"/>
          <w:b w:val="0"/>
          <w:i w:val="0"/>
          <w:color w:val="666666"/>
          <w:sz w:val="22"/>
        </w:rPr>
        <w:t>Capabilities: daily briefs, meeting prep, action capture, email triage, calendar management, weekly priorities digest</w:t>
      </w:r>
    </w:p>
    <w:p/>
    <w:p>
      <w:pPr>
        <w:spacing w:before="240" w:after="80"/>
      </w:pPr>
      <w:r>
        <w:rPr>
          <w:rFonts w:ascii="Calibri" w:hAnsi="Calibri"/>
          <w:b/>
          <w:i w:val="0"/>
          <w:color w:val="1A1A1A"/>
          <w:sz w:val="26"/>
        </w:rPr>
        <w:t>Sterling — Operations Controller Agent</w:t>
      </w:r>
    </w:p>
    <w:p>
      <w:pPr>
        <w:spacing w:after="120"/>
      </w:pPr>
      <w:r>
        <w:rPr>
          <w:rFonts w:ascii="Calibri" w:hAnsi="Calibri"/>
          <w:b w:val="0"/>
          <w:i w:val="0"/>
          <w:color w:val="666666"/>
          <w:sz w:val="22"/>
        </w:rPr>
        <w:t>Phase: Phase 1 — Foundation (Month 1)</w:t>
      </w:r>
    </w:p>
    <w:p>
      <w:pPr>
        <w:spacing w:after="120"/>
      </w:pPr>
      <w:r>
        <w:rPr>
          <w:rFonts w:ascii="Calibri" w:hAnsi="Calibri"/>
          <w:b w:val="0"/>
          <w:i w:val="0"/>
          <w:color w:val="666666"/>
          <w:sz w:val="22"/>
        </w:rPr>
        <w:t>Reports To: Main Orchestration</w:t>
      </w:r>
    </w:p>
    <w:p>
      <w:pPr>
        <w:spacing w:after="120"/>
      </w:pPr>
      <w:r>
        <w:rPr>
          <w:rFonts w:ascii="Calibri" w:hAnsi="Calibri"/>
          <w:b w:val="0"/>
          <w:i w:val="0"/>
          <w:color w:val="666666"/>
          <w:sz w:val="22"/>
        </w:rPr>
        <w:t>Human QA: TBD (client-designated)</w:t>
      </w:r>
    </w:p>
    <w:p>
      <w:pPr>
        <w:spacing w:before="240" w:after="80"/>
      </w:pPr>
      <w:r>
        <w:rPr>
          <w:rFonts w:ascii="Calibri" w:hAnsi="Calibri"/>
          <w:b/>
          <w:i w:val="0"/>
          <w:color w:val="1A1A1A"/>
          <w:sz w:val="26"/>
        </w:rPr>
        <w:t>Capabilities</w:t>
      </w:r>
    </w:p>
    <w:p>
      <w:pPr>
        <w:pStyle w:val="ListBullet"/>
        <w:spacing w:after="60"/>
        <w:ind w:left="360"/>
      </w:pPr>
      <w:r>
        <w:rPr>
          <w:rFonts w:ascii="Calibri" w:hAnsi="Calibri"/>
          <w:b w:val="0"/>
          <w:i w:val="0"/>
          <w:color w:val="666666"/>
          <w:sz w:val="22"/>
        </w:rPr>
        <w:t>Capabilities: KPI tracking, process monitoring, workflow optimization, reporting automation, compliance checks</w:t>
      </w:r>
    </w:p>
    <w:p/>
    <w:p>
      <w:pPr>
        <w:spacing w:before="240" w:after="80"/>
      </w:pPr>
      <w:r>
        <w:rPr>
          <w:rFonts w:ascii="Calibri" w:hAnsi="Calibri"/>
          <w:b/>
          <w:i w:val="0"/>
          <w:color w:val="1A1A1A"/>
          <w:sz w:val="26"/>
        </w:rPr>
        <w:t>Sage — Project Coordinator Agent</w:t>
      </w:r>
    </w:p>
    <w:p>
      <w:pPr>
        <w:spacing w:after="120"/>
      </w:pPr>
      <w:r>
        <w:rPr>
          <w:rFonts w:ascii="Calibri" w:hAnsi="Calibri"/>
          <w:b w:val="0"/>
          <w:i w:val="0"/>
          <w:color w:val="666666"/>
          <w:sz w:val="22"/>
        </w:rPr>
        <w:t>Phase: Phase 1 — Foundation (Month 1)</w:t>
      </w:r>
    </w:p>
    <w:p>
      <w:pPr>
        <w:spacing w:after="120"/>
      </w:pPr>
      <w:r>
        <w:rPr>
          <w:rFonts w:ascii="Calibri" w:hAnsi="Calibri"/>
          <w:b w:val="0"/>
          <w:i w:val="0"/>
          <w:color w:val="666666"/>
          <w:sz w:val="22"/>
        </w:rPr>
        <w:t>Reports To: Main Orchestration</w:t>
      </w:r>
    </w:p>
    <w:p>
      <w:pPr>
        <w:spacing w:after="120"/>
      </w:pPr>
      <w:r>
        <w:rPr>
          <w:rFonts w:ascii="Calibri" w:hAnsi="Calibri"/>
          <w:b w:val="0"/>
          <w:i w:val="0"/>
          <w:color w:val="666666"/>
          <w:sz w:val="22"/>
        </w:rPr>
        <w:t>Human QA: TBD (client-designated)</w:t>
      </w:r>
    </w:p>
    <w:p>
      <w:pPr>
        <w:spacing w:before="240" w:after="80"/>
      </w:pPr>
      <w:r>
        <w:rPr>
          <w:rFonts w:ascii="Calibri" w:hAnsi="Calibri"/>
          <w:b/>
          <w:i w:val="0"/>
          <w:color w:val="1A1A1A"/>
          <w:sz w:val="26"/>
        </w:rPr>
        <w:t>Capabilities</w:t>
      </w:r>
    </w:p>
    <w:p>
      <w:pPr>
        <w:pStyle w:val="ListBullet"/>
        <w:spacing w:after="60"/>
        <w:ind w:left="360"/>
      </w:pPr>
      <w:r>
        <w:rPr>
          <w:rFonts w:ascii="Calibri" w:hAnsi="Calibri"/>
          <w:b w:val="0"/>
          <w:i w:val="0"/>
          <w:color w:val="666666"/>
          <w:sz w:val="22"/>
        </w:rPr>
        <w:t>Capabilities: task tracking, deadline management, resource allocation, status reporting, stakeholder updates, quality checks on outputs</w:t>
      </w:r>
    </w:p>
    <w:p/>
    <w:p>
      <w:pPr>
        <w:spacing w:before="240" w:after="80"/>
      </w:pPr>
      <w:r>
        <w:rPr>
          <w:rFonts w:ascii="Calibri" w:hAnsi="Calibri"/>
          <w:b/>
          <w:i w:val="0"/>
          <w:color w:val="1A1A1A"/>
          <w:sz w:val="26"/>
        </w:rPr>
        <w:t>Ledger — Finance &amp; AP Agent</w:t>
      </w:r>
    </w:p>
    <w:p>
      <w:pPr>
        <w:spacing w:after="120"/>
      </w:pPr>
      <w:r>
        <w:rPr>
          <w:rFonts w:ascii="Calibri" w:hAnsi="Calibri"/>
          <w:b w:val="0"/>
          <w:i w:val="0"/>
          <w:color w:val="666666"/>
          <w:sz w:val="22"/>
        </w:rPr>
        <w:t>Phase: Phase 2 — Finance + Revenue (Month 2)</w:t>
      </w:r>
    </w:p>
    <w:p>
      <w:pPr>
        <w:spacing w:after="120"/>
      </w:pPr>
      <w:r>
        <w:rPr>
          <w:rFonts w:ascii="Calibri" w:hAnsi="Calibri"/>
          <w:b w:val="0"/>
          <w:i w:val="0"/>
          <w:color w:val="666666"/>
          <w:sz w:val="22"/>
        </w:rPr>
        <w:t>Reports To: Main Orchestration</w:t>
      </w:r>
    </w:p>
    <w:p>
      <w:pPr>
        <w:spacing w:after="120"/>
      </w:pPr>
      <w:r>
        <w:rPr>
          <w:rFonts w:ascii="Calibri" w:hAnsi="Calibri"/>
          <w:b w:val="0"/>
          <w:i w:val="0"/>
          <w:color w:val="666666"/>
          <w:sz w:val="22"/>
        </w:rPr>
        <w:t>Human QA: TBD (client-designated)</w:t>
      </w:r>
    </w:p>
    <w:p>
      <w:pPr>
        <w:spacing w:before="240" w:after="80"/>
      </w:pPr>
      <w:r>
        <w:rPr>
          <w:rFonts w:ascii="Calibri" w:hAnsi="Calibri"/>
          <w:b/>
          <w:i w:val="0"/>
          <w:color w:val="1A1A1A"/>
          <w:sz w:val="26"/>
        </w:rPr>
        <w:t>Capabilities</w:t>
      </w:r>
    </w:p>
    <w:p>
      <w:pPr>
        <w:pStyle w:val="ListBullet"/>
        <w:spacing w:after="60"/>
        <w:ind w:left="360"/>
      </w:pPr>
      <w:r>
        <w:rPr>
          <w:rFonts w:ascii="Calibri" w:hAnsi="Calibri"/>
          <w:b w:val="0"/>
          <w:i w:val="0"/>
          <w:color w:val="666666"/>
          <w:sz w:val="22"/>
        </w:rPr>
        <w:t>Capabilities: invoice processing, payment queue (human approval), vendor management, expense categorization, financial reporting</w:t>
      </w:r>
    </w:p>
    <w:p/>
    <w:p>
      <w:pPr>
        <w:spacing w:before="240" w:after="80"/>
      </w:pPr>
      <w:r>
        <w:rPr>
          <w:rFonts w:ascii="Calibri" w:hAnsi="Calibri"/>
          <w:b/>
          <w:i w:val="0"/>
          <w:color w:val="1A1A1A"/>
          <w:sz w:val="26"/>
        </w:rPr>
        <w:t>Chase — Revenue &amp; AR Agent</w:t>
      </w:r>
    </w:p>
    <w:p>
      <w:pPr>
        <w:spacing w:after="120"/>
      </w:pPr>
      <w:r>
        <w:rPr>
          <w:rFonts w:ascii="Calibri" w:hAnsi="Calibri"/>
          <w:b w:val="0"/>
          <w:i w:val="0"/>
          <w:color w:val="666666"/>
          <w:sz w:val="22"/>
        </w:rPr>
        <w:t>Phase: Phase 2 — Finance + Revenue (Month 2)</w:t>
      </w:r>
    </w:p>
    <w:p>
      <w:pPr>
        <w:spacing w:after="120"/>
      </w:pPr>
      <w:r>
        <w:rPr>
          <w:rFonts w:ascii="Calibri" w:hAnsi="Calibri"/>
          <w:b w:val="0"/>
          <w:i w:val="0"/>
          <w:color w:val="666666"/>
          <w:sz w:val="22"/>
        </w:rPr>
        <w:t>Reports To: Main Orchestration</w:t>
      </w:r>
    </w:p>
    <w:p>
      <w:pPr>
        <w:spacing w:after="120"/>
      </w:pPr>
      <w:r>
        <w:rPr>
          <w:rFonts w:ascii="Calibri" w:hAnsi="Calibri"/>
          <w:b w:val="0"/>
          <w:i w:val="0"/>
          <w:color w:val="666666"/>
          <w:sz w:val="22"/>
        </w:rPr>
        <w:t>Human QA: TBD (client-designated)</w:t>
      </w:r>
    </w:p>
    <w:p>
      <w:pPr>
        <w:spacing w:before="240" w:after="80"/>
      </w:pPr>
      <w:r>
        <w:rPr>
          <w:rFonts w:ascii="Calibri" w:hAnsi="Calibri"/>
          <w:b/>
          <w:i w:val="0"/>
          <w:color w:val="1A1A1A"/>
          <w:sz w:val="26"/>
        </w:rPr>
        <w:t>Capabilities</w:t>
      </w:r>
    </w:p>
    <w:p>
      <w:pPr>
        <w:pStyle w:val="ListBullet"/>
        <w:spacing w:after="60"/>
        <w:ind w:left="360"/>
      </w:pPr>
      <w:r>
        <w:rPr>
          <w:rFonts w:ascii="Calibri" w:hAnsi="Calibri"/>
          <w:b w:val="0"/>
          <w:i w:val="0"/>
          <w:color w:val="666666"/>
          <w:sz w:val="22"/>
        </w:rPr>
        <w:t>Capabilities: invoicing, payment collection, recurring billing, aging reports, collection sequences</w:t>
      </w:r>
    </w:p>
    <w:p/>
    <w:p>
      <w:r>
        <w:br w:type="page"/>
      </w:r>
    </w:p>
    <w:p>
      <w:pPr>
        <w:spacing w:before="240" w:after="80"/>
      </w:pPr>
      <w:r>
        <w:rPr>
          <w:rFonts w:ascii="Calibri" w:hAnsi="Calibri"/>
          <w:b/>
          <w:i w:val="0"/>
          <w:color w:val="E8A84C"/>
          <w:sz w:val="32"/>
        </w:rPr>
        <w:t>6. Reporting Structure</w:t>
      </w:r>
    </w:p>
    <w:tbl>
      <w:tblPr>
        <w:jc w:val="left"/>
        <w:tblLook w:firstColumn="1" w:firstRow="1" w:lastColumn="0" w:lastRow="0" w:noHBand="0" w:noVBand="1" w:val="04A0"/>
        <w:tblW w:w="10080" w:type="dxa"/>
        <w:tblLayout w:type="fixed"/>
      </w:tblPr>
      <w:tblGrid>
        <w:gridCol w:w="3101"/>
        <w:gridCol w:w="3876"/>
        <w:gridCol w:w="3103"/>
      </w:tblGrid>
      <w:tr>
        <w:tc>
          <w:tcPr>
            <w:tcW w:w="3101" w:type="dxa"/>
            <w:shd w:val="clear" w:color="auto" w:fill="1A1A1A"/>
            <w:tcBorders>
              <w:top w:val="single" w:sz="4" w:space="0" w:color="D0D0D0"/>
              <w:left w:val="single" w:sz="4" w:space="0" w:color="D0D0D0"/>
              <w:bottom w:val="single" w:sz="4" w:space="0" w:color="D0D0D0"/>
              <w:right w:val="single" w:sz="4" w:space="0" w:color="D0D0D0"/>
            </w:tcBorders>
          </w:tcPr>
          <w:p>
            <w:r/>
            <w:r>
              <w:rPr>
                <w:rFonts w:ascii="Calibri" w:hAnsi="Calibri"/>
                <w:b/>
                <w:i w:val="0"/>
                <w:color w:val="FFFFFF"/>
                <w:sz w:val="22"/>
              </w:rPr>
              <w:t>Agent</w:t>
            </w:r>
          </w:p>
        </w:tc>
        <w:tc>
          <w:tcPr>
            <w:tcW w:w="3876" w:type="dxa"/>
            <w:shd w:val="clear" w:color="auto" w:fill="1A1A1A"/>
            <w:tcBorders>
              <w:top w:val="single" w:sz="4" w:space="0" w:color="D0D0D0"/>
              <w:left w:val="single" w:sz="4" w:space="0" w:color="D0D0D0"/>
              <w:bottom w:val="single" w:sz="4" w:space="0" w:color="D0D0D0"/>
              <w:right w:val="single" w:sz="4" w:space="0" w:color="D0D0D0"/>
            </w:tcBorders>
          </w:tcPr>
          <w:p>
            <w:r/>
            <w:r>
              <w:rPr>
                <w:rFonts w:ascii="Calibri" w:hAnsi="Calibri"/>
                <w:b/>
                <w:i w:val="0"/>
                <w:color w:val="FFFFFF"/>
                <w:sz w:val="22"/>
              </w:rPr>
              <w:t>Reports To</w:t>
            </w:r>
          </w:p>
        </w:tc>
        <w:tc>
          <w:tcPr>
            <w:tcW w:w="3103" w:type="dxa"/>
            <w:shd w:val="clear" w:color="auto" w:fill="1A1A1A"/>
            <w:tcBorders>
              <w:top w:val="single" w:sz="4" w:space="0" w:color="D0D0D0"/>
              <w:left w:val="single" w:sz="4" w:space="0" w:color="D0D0D0"/>
              <w:bottom w:val="single" w:sz="4" w:space="0" w:color="D0D0D0"/>
              <w:right w:val="single" w:sz="4" w:space="0" w:color="D0D0D0"/>
            </w:tcBorders>
          </w:tcPr>
          <w:p>
            <w:r/>
            <w:r>
              <w:rPr>
                <w:rFonts w:ascii="Calibri" w:hAnsi="Calibri"/>
                <w:b/>
                <w:i w:val="0"/>
                <w:color w:val="FFFFFF"/>
                <w:sz w:val="22"/>
              </w:rPr>
              <w:t>Human QA</w:t>
            </w:r>
          </w:p>
        </w:tc>
      </w:tr>
      <w:tr>
        <w:tc>
          <w:tcPr>
            <w:tcW w:w="3101"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Grace</w:t>
            </w:r>
          </w:p>
        </w:tc>
        <w:tc>
          <w:tcPr>
            <w:tcW w:w="3876"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Main Orchestration</w:t>
            </w:r>
          </w:p>
        </w:tc>
        <w:tc>
          <w:tcPr>
            <w:tcW w:w="3103"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TBD (client-designated)</w:t>
            </w:r>
          </w:p>
        </w:tc>
      </w:tr>
      <w:tr>
        <w:tc>
          <w:tcPr>
            <w:tcW w:w="3101" w:type="dxa"/>
            <w:shd w:val="clear" w:color="auto" w:fill="FFFFFF"/>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Sterling</w:t>
            </w:r>
          </w:p>
        </w:tc>
        <w:tc>
          <w:tcPr>
            <w:tcW w:w="3876" w:type="dxa"/>
            <w:shd w:val="clear" w:color="auto" w:fill="FFFFFF"/>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Main Orchestration</w:t>
            </w:r>
          </w:p>
        </w:tc>
        <w:tc>
          <w:tcPr>
            <w:tcW w:w="3103" w:type="dxa"/>
            <w:shd w:val="clear" w:color="auto" w:fill="FFFFFF"/>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TBD (client-designated)</w:t>
            </w:r>
          </w:p>
        </w:tc>
      </w:tr>
      <w:tr>
        <w:tc>
          <w:tcPr>
            <w:tcW w:w="3101"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Sage</w:t>
            </w:r>
          </w:p>
        </w:tc>
        <w:tc>
          <w:tcPr>
            <w:tcW w:w="3876"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Main Orchestration</w:t>
            </w:r>
          </w:p>
        </w:tc>
        <w:tc>
          <w:tcPr>
            <w:tcW w:w="3103"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TBD (client-designated)</w:t>
            </w:r>
          </w:p>
        </w:tc>
      </w:tr>
      <w:tr>
        <w:tc>
          <w:tcPr>
            <w:tcW w:w="3101" w:type="dxa"/>
            <w:shd w:val="clear" w:color="auto" w:fill="FFFFFF"/>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Ledger</w:t>
            </w:r>
          </w:p>
        </w:tc>
        <w:tc>
          <w:tcPr>
            <w:tcW w:w="3876" w:type="dxa"/>
            <w:shd w:val="clear" w:color="auto" w:fill="FFFFFF"/>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Main Orchestration</w:t>
            </w:r>
          </w:p>
        </w:tc>
        <w:tc>
          <w:tcPr>
            <w:tcW w:w="3103" w:type="dxa"/>
            <w:shd w:val="clear" w:color="auto" w:fill="FFFFFF"/>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TBD (client-designated)</w:t>
            </w:r>
          </w:p>
        </w:tc>
      </w:tr>
      <w:tr>
        <w:tc>
          <w:tcPr>
            <w:tcW w:w="3101"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Chase</w:t>
            </w:r>
          </w:p>
        </w:tc>
        <w:tc>
          <w:tcPr>
            <w:tcW w:w="3876"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Main Orchestration</w:t>
            </w:r>
          </w:p>
        </w:tc>
        <w:tc>
          <w:tcPr>
            <w:tcW w:w="3103"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TBD (client-designated)</w:t>
            </w:r>
          </w:p>
        </w:tc>
      </w:tr>
      <w:tr>
        <w:tc>
          <w:tcPr>
            <w:tcW w:w="3101" w:type="dxa"/>
            <w:shd w:val="clear" w:color="auto" w:fill="FFFFFF"/>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Client Principal (Human)</w:t>
            </w:r>
          </w:p>
        </w:tc>
        <w:tc>
          <w:tcPr>
            <w:tcW w:w="3876" w:type="dxa"/>
            <w:shd w:val="clear" w:color="auto" w:fill="FFFFFF"/>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 Final Authority —</w:t>
            </w:r>
          </w:p>
        </w:tc>
        <w:tc>
          <w:tcPr>
            <w:tcW w:w="3103" w:type="dxa"/>
            <w:shd w:val="clear" w:color="auto" w:fill="FFFFFF"/>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N/A</w:t>
            </w:r>
          </w:p>
        </w:tc>
      </w:tr>
    </w:tbl>
    <w:p/>
    <w:p>
      <w:pPr>
        <w:spacing w:before="240" w:after="80"/>
      </w:pPr>
      <w:r>
        <w:rPr>
          <w:rFonts w:ascii="Calibri" w:hAnsi="Calibri"/>
          <w:b/>
          <w:i w:val="0"/>
          <w:color w:val="1A1A1A"/>
          <w:sz w:val="26"/>
        </w:rPr>
        <w:t>Human Approval Requirements</w:t>
      </w:r>
    </w:p>
    <w:p>
      <w:pPr>
        <w:pStyle w:val="ListBullet"/>
        <w:spacing w:after="60"/>
        <w:ind w:left="360"/>
      </w:pPr>
      <w:r>
        <w:rPr>
          <w:rFonts w:ascii="Calibri" w:hAnsi="Calibri"/>
          <w:b w:val="0"/>
          <w:i w:val="0"/>
          <w:color w:val="666666"/>
          <w:sz w:val="22"/>
        </w:rPr>
        <w:t>All outbound client-facing emails require stakeholder approval before sending</w:t>
      </w:r>
    </w:p>
    <w:p>
      <w:pPr>
        <w:pStyle w:val="ListBullet"/>
        <w:spacing w:after="60"/>
        <w:ind w:left="360"/>
      </w:pPr>
      <w:r>
        <w:rPr>
          <w:rFonts w:ascii="Calibri" w:hAnsi="Calibri"/>
          <w:b w:val="0"/>
          <w:i w:val="0"/>
          <w:color w:val="666666"/>
          <w:sz w:val="22"/>
        </w:rPr>
        <w:t>Financial documents and invoices require Controller/Owner approval</w:t>
      </w:r>
    </w:p>
    <w:p>
      <w:pPr>
        <w:pStyle w:val="ListBullet"/>
        <w:spacing w:after="60"/>
        <w:ind w:left="360"/>
      </w:pPr>
      <w:r>
        <w:rPr>
          <w:rFonts w:ascii="Calibri" w:hAnsi="Calibri"/>
          <w:b w:val="0"/>
          <w:i w:val="0"/>
          <w:color w:val="666666"/>
          <w:sz w:val="22"/>
        </w:rPr>
        <w:t>Any commitment over $500 requires Principal sign-off</w:t>
      </w:r>
    </w:p>
    <w:p>
      <w:pPr>
        <w:pStyle w:val="ListBullet"/>
        <w:spacing w:after="60"/>
        <w:ind w:left="360"/>
      </w:pPr>
      <w:r>
        <w:rPr>
          <w:rFonts w:ascii="Calibri" w:hAnsi="Calibri"/>
          <w:b w:val="0"/>
          <w:i w:val="0"/>
          <w:color w:val="666666"/>
          <w:sz w:val="22"/>
        </w:rPr>
        <w:t>New contact creation in CRM requires Operations review</w:t>
      </w:r>
    </w:p>
    <w:p>
      <w:pPr>
        <w:pStyle w:val="ListBullet"/>
        <w:spacing w:after="60"/>
        <w:ind w:left="360"/>
      </w:pPr>
      <w:r>
        <w:rPr>
          <w:rFonts w:ascii="Calibri" w:hAnsi="Calibri"/>
          <w:b w:val="0"/>
          <w:i w:val="0"/>
          <w:color w:val="666666"/>
          <w:sz w:val="22"/>
        </w:rPr>
        <w:t>Agent-generated contracts or proposals require Principal review</w:t>
      </w:r>
    </w:p>
    <w:p>
      <w:pPr>
        <w:spacing w:before="240" w:after="80"/>
      </w:pPr>
      <w:r>
        <w:rPr>
          <w:rFonts w:ascii="Calibri" w:hAnsi="Calibri"/>
          <w:b/>
          <w:i w:val="0"/>
          <w:color w:val="E8A84C"/>
          <w:sz w:val="32"/>
        </w:rPr>
        <w:t>7. Integrations</w:t>
      </w:r>
    </w:p>
    <w:tbl>
      <w:tblPr>
        <w:jc w:val="left"/>
        <w:tblLook w:firstColumn="1" w:firstRow="1" w:lastColumn="0" w:lastRow="0" w:noHBand="0" w:noVBand="1" w:val="04A0"/>
        <w:tblW w:w="10080" w:type="dxa"/>
        <w:tblLayout w:type="fixed"/>
      </w:tblPr>
      <w:tblGrid>
        <w:gridCol w:w="2160"/>
        <w:gridCol w:w="3600"/>
        <w:gridCol w:w="4320"/>
      </w:tblGrid>
      <w:tr>
        <w:tc>
          <w:tcPr>
            <w:tcW w:w="2160" w:type="dxa"/>
            <w:shd w:val="clear" w:color="auto" w:fill="1A1A1A"/>
            <w:tcBorders>
              <w:top w:val="single" w:sz="4" w:space="0" w:color="D0D0D0"/>
              <w:left w:val="single" w:sz="4" w:space="0" w:color="D0D0D0"/>
              <w:bottom w:val="single" w:sz="4" w:space="0" w:color="D0D0D0"/>
              <w:right w:val="single" w:sz="4" w:space="0" w:color="D0D0D0"/>
            </w:tcBorders>
          </w:tcPr>
          <w:p>
            <w:r/>
            <w:r>
              <w:rPr>
                <w:rFonts w:ascii="Calibri" w:hAnsi="Calibri"/>
                <w:b/>
                <w:i w:val="0"/>
                <w:color w:val="FFFFFF"/>
                <w:sz w:val="22"/>
              </w:rPr>
              <w:t>System</w:t>
            </w:r>
          </w:p>
        </w:tc>
        <w:tc>
          <w:tcPr>
            <w:tcW w:w="3600" w:type="dxa"/>
            <w:shd w:val="clear" w:color="auto" w:fill="1A1A1A"/>
            <w:tcBorders>
              <w:top w:val="single" w:sz="4" w:space="0" w:color="D0D0D0"/>
              <w:left w:val="single" w:sz="4" w:space="0" w:color="D0D0D0"/>
              <w:bottom w:val="single" w:sz="4" w:space="0" w:color="D0D0D0"/>
              <w:right w:val="single" w:sz="4" w:space="0" w:color="D0D0D0"/>
            </w:tcBorders>
          </w:tcPr>
          <w:p>
            <w:r/>
            <w:r>
              <w:rPr>
                <w:rFonts w:ascii="Calibri" w:hAnsi="Calibri"/>
                <w:b/>
                <w:i w:val="0"/>
                <w:color w:val="FFFFFF"/>
                <w:sz w:val="22"/>
              </w:rPr>
              <w:t>Tool / Platform</w:t>
            </w:r>
          </w:p>
        </w:tc>
        <w:tc>
          <w:tcPr>
            <w:tcW w:w="4320" w:type="dxa"/>
            <w:shd w:val="clear" w:color="auto" w:fill="1A1A1A"/>
            <w:tcBorders>
              <w:top w:val="single" w:sz="4" w:space="0" w:color="D0D0D0"/>
              <w:left w:val="single" w:sz="4" w:space="0" w:color="D0D0D0"/>
              <w:bottom w:val="single" w:sz="4" w:space="0" w:color="D0D0D0"/>
              <w:right w:val="single" w:sz="4" w:space="0" w:color="D0D0D0"/>
            </w:tcBorders>
          </w:tcPr>
          <w:p>
            <w:r/>
            <w:r>
              <w:rPr>
                <w:rFonts w:ascii="Calibri" w:hAnsi="Calibri"/>
                <w:b/>
                <w:i w:val="0"/>
                <w:color w:val="FFFFFF"/>
                <w:sz w:val="22"/>
              </w:rPr>
              <w:t>Integration Purpose</w:t>
            </w:r>
          </w:p>
        </w:tc>
      </w:tr>
      <w:tr>
        <w:tc>
          <w:tcPr>
            <w:tcW w:w="2160"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CRM</w:t>
            </w:r>
          </w:p>
        </w:tc>
        <w:tc>
          <w:tcPr>
            <w:tcW w:w="3600"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HubSpot / Salesforce / Pipedrive</w:t>
            </w:r>
          </w:p>
        </w:tc>
        <w:tc>
          <w:tcPr>
            <w:tcW w:w="4320"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Lead sync, pipeline updates, contact enrichment</w:t>
            </w:r>
          </w:p>
        </w:tc>
      </w:tr>
      <w:tr>
        <w:tc>
          <w:tcPr>
            <w:tcW w:w="2160" w:type="dxa"/>
            <w:shd w:val="clear" w:color="auto" w:fill="FFFFFF"/>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Email</w:t>
            </w:r>
          </w:p>
        </w:tc>
        <w:tc>
          <w:tcPr>
            <w:tcW w:w="3600" w:type="dxa"/>
            <w:shd w:val="clear" w:color="auto" w:fill="FFFFFF"/>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Gmail / Outlook</w:t>
            </w:r>
          </w:p>
        </w:tc>
        <w:tc>
          <w:tcPr>
            <w:tcW w:w="4320" w:type="dxa"/>
            <w:shd w:val="clear" w:color="auto" w:fill="FFFFFF"/>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Outbound comms, follow-up sequences, inbox triage</w:t>
            </w:r>
          </w:p>
        </w:tc>
      </w:tr>
      <w:tr>
        <w:tc>
          <w:tcPr>
            <w:tcW w:w="2160"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Accounting</w:t>
            </w:r>
          </w:p>
        </w:tc>
        <w:tc>
          <w:tcPr>
            <w:tcW w:w="3600"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QuickBooks / Xero</w:t>
            </w:r>
          </w:p>
        </w:tc>
        <w:tc>
          <w:tcPr>
            <w:tcW w:w="4320"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Invoice tracking, payment status, financial alerts</w:t>
            </w:r>
          </w:p>
        </w:tc>
      </w:tr>
      <w:tr>
        <w:tc>
          <w:tcPr>
            <w:tcW w:w="2160" w:type="dxa"/>
            <w:shd w:val="clear" w:color="auto" w:fill="FFFFFF"/>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Communication</w:t>
            </w:r>
          </w:p>
        </w:tc>
        <w:tc>
          <w:tcPr>
            <w:tcW w:w="3600" w:type="dxa"/>
            <w:shd w:val="clear" w:color="auto" w:fill="FFFFFF"/>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Slack / Microsoft Teams</w:t>
            </w:r>
          </w:p>
        </w:tc>
        <w:tc>
          <w:tcPr>
            <w:tcW w:w="4320" w:type="dxa"/>
            <w:shd w:val="clear" w:color="auto" w:fill="FFFFFF"/>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Internal alerts, agent status updates</w:t>
            </w:r>
          </w:p>
        </w:tc>
      </w:tr>
      <w:tr>
        <w:tc>
          <w:tcPr>
            <w:tcW w:w="2160"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Documents</w:t>
            </w:r>
          </w:p>
        </w:tc>
        <w:tc>
          <w:tcPr>
            <w:tcW w:w="3600"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Google Drive / Dropbox</w:t>
            </w:r>
          </w:p>
        </w:tc>
        <w:tc>
          <w:tcPr>
            <w:tcW w:w="4320"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Deliverable storage, report distribution</w:t>
            </w:r>
          </w:p>
        </w:tc>
      </w:tr>
    </w:tbl>
    <w:p/>
    <w:p>
      <w:pPr>
        <w:spacing w:before="240" w:after="80"/>
      </w:pPr>
      <w:r>
        <w:rPr>
          <w:rFonts w:ascii="Calibri" w:hAnsi="Calibri"/>
          <w:b/>
          <w:i w:val="0"/>
          <w:color w:val="1A1A1A"/>
          <w:sz w:val="26"/>
        </w:rPr>
        <w:t>Data Isolation</w:t>
      </w:r>
    </w:p>
    <w:p>
      <w:pPr>
        <w:pStyle w:val="ListBullet"/>
        <w:spacing w:after="60"/>
        <w:ind w:left="360"/>
      </w:pPr>
      <w:r>
        <w:rPr>
          <w:rFonts w:ascii="Calibri" w:hAnsi="Calibri"/>
          <w:b w:val="0"/>
          <w:i w:val="0"/>
          <w:color w:val="666666"/>
          <w:sz w:val="22"/>
        </w:rPr>
        <w:t>RAG (Retrieval-Augmented Generation): Agent knowledge is sourced from client-specific indexed content only.</w:t>
      </w:r>
    </w:p>
    <w:p>
      <w:pPr>
        <w:pStyle w:val="ListBullet"/>
        <w:spacing w:after="60"/>
        <w:ind w:left="360"/>
      </w:pPr>
      <w:r>
        <w:rPr>
          <w:rFonts w:ascii="Calibri" w:hAnsi="Calibri"/>
          <w:b w:val="0"/>
          <w:i w:val="0"/>
          <w:color w:val="666666"/>
          <w:sz w:val="22"/>
        </w:rPr>
        <w:t>Container Isolation: Each client deployment runs in a dedicated agent container with no cross-client data access.</w:t>
      </w:r>
    </w:p>
    <w:p>
      <w:pPr>
        <w:pStyle w:val="ListBullet"/>
        <w:spacing w:after="60"/>
        <w:ind w:left="360"/>
      </w:pPr>
      <w:r>
        <w:rPr>
          <w:rFonts w:ascii="Calibri" w:hAnsi="Calibri"/>
          <w:b w:val="0"/>
          <w:i w:val="0"/>
          <w:color w:val="666666"/>
          <w:sz w:val="22"/>
        </w:rPr>
        <w:t>Database Isolation: Client operational data is stored in separate, access-controlled database instances.</w:t>
      </w:r>
    </w:p>
    <w:p>
      <w:pPr>
        <w:pStyle w:val="ListBullet"/>
        <w:spacing w:after="60"/>
        <w:ind w:left="360"/>
      </w:pPr>
      <w:r>
        <w:rPr>
          <w:rFonts w:ascii="Calibri" w:hAnsi="Calibri"/>
          <w:b w:val="0"/>
          <w:i w:val="0"/>
          <w:color w:val="666666"/>
          <w:sz w:val="22"/>
        </w:rPr>
        <w:t>Self-Improving Memory: Agents learn from interaction patterns within their client container only. No data leaves the container for training shared models.</w:t>
      </w:r>
    </w:p>
    <w:p>
      <w:pPr>
        <w:pStyle w:val="ListBullet"/>
        <w:spacing w:after="60"/>
        <w:ind w:left="360"/>
      </w:pPr>
      <w:r>
        <w:rPr>
          <w:rFonts w:ascii="Calibri" w:hAnsi="Calibri"/>
          <w:b w:val="0"/>
          <w:i w:val="0"/>
          <w:color w:val="666666"/>
          <w:sz w:val="22"/>
        </w:rPr>
        <w:t>Audit Trail: All agent actions, decisions, and data access events are logged with timestamps and available for client review.</w:t>
      </w:r>
    </w:p>
    <w:p>
      <w:r>
        <w:br w:type="page"/>
      </w:r>
    </w:p>
    <w:p>
      <w:pPr>
        <w:spacing w:before="240" w:after="80"/>
      </w:pPr>
      <w:r>
        <w:rPr>
          <w:rFonts w:ascii="Calibri" w:hAnsi="Calibri"/>
          <w:b/>
          <w:i w:val="0"/>
          <w:color w:val="E8A84C"/>
          <w:sz w:val="32"/>
        </w:rPr>
        <w:t>8. Onboarding, Workflow Setup &amp; Training</w:t>
      </w:r>
    </w:p>
    <w:p>
      <w:pPr>
        <w:spacing w:before="240" w:after="80"/>
      </w:pPr>
      <w:r>
        <w:rPr>
          <w:rFonts w:ascii="Calibri" w:hAnsi="Calibri"/>
          <w:b/>
          <w:i w:val="0"/>
          <w:color w:val="1A1A1A"/>
          <w:sz w:val="26"/>
        </w:rPr>
        <w:t>Kickoff &amp; Configuration</w:t>
      </w:r>
    </w:p>
    <w:p>
      <w:pPr>
        <w:pStyle w:val="ListBullet"/>
        <w:spacing w:after="60"/>
        <w:ind w:left="360"/>
      </w:pPr>
      <w:r>
        <w:rPr>
          <w:rFonts w:ascii="Calibri" w:hAnsi="Calibri"/>
          <w:b w:val="0"/>
          <w:i w:val="0"/>
          <w:color w:val="666666"/>
          <w:sz w:val="22"/>
        </w:rPr>
        <w:t>Discovery session with client team to map workflows and approval chains</w:t>
      </w:r>
    </w:p>
    <w:p>
      <w:pPr>
        <w:pStyle w:val="ListBullet"/>
        <w:spacing w:after="60"/>
        <w:ind w:left="360"/>
      </w:pPr>
      <w:r>
        <w:rPr>
          <w:rFonts w:ascii="Calibri" w:hAnsi="Calibri"/>
          <w:b w:val="0"/>
          <w:i w:val="0"/>
          <w:color w:val="666666"/>
          <w:sz w:val="22"/>
        </w:rPr>
        <w:t>Agent persona customization to match company voice and communication standards</w:t>
      </w:r>
    </w:p>
    <w:p>
      <w:pPr>
        <w:pStyle w:val="ListBullet"/>
        <w:spacing w:after="60"/>
        <w:ind w:left="360"/>
      </w:pPr>
      <w:r>
        <w:rPr>
          <w:rFonts w:ascii="Calibri" w:hAnsi="Calibri"/>
          <w:b w:val="0"/>
          <w:i w:val="0"/>
          <w:color w:val="666666"/>
          <w:sz w:val="22"/>
        </w:rPr>
        <w:t>Tool access provisioning: OAuth, API keys, CRM credentials</w:t>
      </w:r>
    </w:p>
    <w:p>
      <w:pPr>
        <w:pStyle w:val="ListBullet"/>
        <w:spacing w:after="60"/>
        <w:ind w:left="360"/>
      </w:pPr>
      <w:r>
        <w:rPr>
          <w:rFonts w:ascii="Calibri" w:hAnsi="Calibri"/>
          <w:b w:val="0"/>
          <w:i w:val="0"/>
          <w:color w:val="666666"/>
          <w:sz w:val="22"/>
        </w:rPr>
        <w:t>DISC stakeholder profiling for communication style calibration</w:t>
      </w:r>
    </w:p>
    <w:p>
      <w:pPr>
        <w:pStyle w:val="ListBullet"/>
        <w:spacing w:after="60"/>
        <w:ind w:left="360"/>
      </w:pPr>
      <w:r>
        <w:rPr>
          <w:rFonts w:ascii="Calibri" w:hAnsi="Calibri"/>
          <w:b w:val="0"/>
          <w:i w:val="0"/>
          <w:color w:val="666666"/>
          <w:sz w:val="22"/>
        </w:rPr>
        <w:t>Initial knowledge base ingestion from client-provided documents</w:t>
      </w:r>
    </w:p>
    <w:p>
      <w:pPr>
        <w:spacing w:before="240" w:after="80"/>
      </w:pPr>
      <w:r>
        <w:rPr>
          <w:rFonts w:ascii="Calibri" w:hAnsi="Calibri"/>
          <w:b/>
          <w:i w:val="0"/>
          <w:color w:val="1A1A1A"/>
          <w:sz w:val="26"/>
        </w:rPr>
        <w:t>Workflow Setup</w:t>
      </w:r>
    </w:p>
    <w:p>
      <w:pPr>
        <w:pStyle w:val="ListBullet"/>
        <w:spacing w:after="60"/>
        <w:ind w:left="360"/>
      </w:pPr>
      <w:r>
        <w:rPr>
          <w:rFonts w:ascii="Calibri" w:hAnsi="Calibri"/>
          <w:b w:val="0"/>
          <w:i w:val="0"/>
          <w:color w:val="666666"/>
          <w:sz w:val="22"/>
        </w:rPr>
        <w:t>Automation mapping: identify top 5 repetitive workflows for immediate automation</w:t>
      </w:r>
    </w:p>
    <w:p>
      <w:pPr>
        <w:pStyle w:val="ListBullet"/>
        <w:spacing w:after="60"/>
        <w:ind w:left="360"/>
      </w:pPr>
      <w:r>
        <w:rPr>
          <w:rFonts w:ascii="Calibri" w:hAnsi="Calibri"/>
          <w:b w:val="0"/>
          <w:i w:val="0"/>
          <w:color w:val="666666"/>
          <w:sz w:val="22"/>
        </w:rPr>
        <w:t>Trigger configuration: email received, form submitted, appointment booked, etc.</w:t>
      </w:r>
    </w:p>
    <w:p>
      <w:pPr>
        <w:pStyle w:val="ListBullet"/>
        <w:spacing w:after="60"/>
        <w:ind w:left="360"/>
      </w:pPr>
      <w:r>
        <w:rPr>
          <w:rFonts w:ascii="Calibri" w:hAnsi="Calibri"/>
          <w:b w:val="0"/>
          <w:i w:val="0"/>
          <w:color w:val="666666"/>
          <w:sz w:val="22"/>
        </w:rPr>
        <w:t>Integration testing across all connected systems</w:t>
      </w:r>
    </w:p>
    <w:p>
      <w:pPr>
        <w:pStyle w:val="ListBullet"/>
        <w:spacing w:after="60"/>
        <w:ind w:left="360"/>
      </w:pPr>
      <w:r>
        <w:rPr>
          <w:rFonts w:ascii="Calibri" w:hAnsi="Calibri"/>
          <w:b w:val="0"/>
          <w:i w:val="0"/>
          <w:color w:val="666666"/>
          <w:sz w:val="22"/>
        </w:rPr>
        <w:t>Approval chain setup: define human gates and escalation paths</w:t>
      </w:r>
    </w:p>
    <w:p>
      <w:pPr>
        <w:pStyle w:val="ListBullet"/>
        <w:spacing w:after="60"/>
        <w:ind w:left="360"/>
      </w:pPr>
      <w:r>
        <w:rPr>
          <w:rFonts w:ascii="Calibri" w:hAnsi="Calibri"/>
          <w:b w:val="0"/>
          <w:i w:val="0"/>
          <w:color w:val="666666"/>
          <w:sz w:val="22"/>
        </w:rPr>
        <w:t>Runbook creation for each deployed agent</w:t>
      </w:r>
    </w:p>
    <w:p>
      <w:pPr>
        <w:spacing w:before="240" w:after="80"/>
      </w:pPr>
      <w:r>
        <w:rPr>
          <w:rFonts w:ascii="Calibri" w:hAnsi="Calibri"/>
          <w:b/>
          <w:i w:val="0"/>
          <w:color w:val="1A1A1A"/>
          <w:sz w:val="26"/>
        </w:rPr>
        <w:t>Training &amp; Handoff</w:t>
      </w:r>
    </w:p>
    <w:p>
      <w:pPr>
        <w:pStyle w:val="ListBullet"/>
        <w:spacing w:after="60"/>
        <w:ind w:left="360"/>
      </w:pPr>
      <w:r>
        <w:rPr>
          <w:rFonts w:ascii="Calibri" w:hAnsi="Calibri"/>
          <w:b w:val="0"/>
          <w:i w:val="0"/>
          <w:color w:val="666666"/>
          <w:sz w:val="22"/>
        </w:rPr>
        <w:t>Client team walkthrough of agent capabilities and interaction protocols</w:t>
      </w:r>
    </w:p>
    <w:p>
      <w:pPr>
        <w:pStyle w:val="ListBullet"/>
        <w:spacing w:after="60"/>
        <w:ind w:left="360"/>
      </w:pPr>
      <w:r>
        <w:rPr>
          <w:rFonts w:ascii="Calibri" w:hAnsi="Calibri"/>
          <w:b w:val="0"/>
          <w:i w:val="0"/>
          <w:color w:val="666666"/>
          <w:sz w:val="22"/>
        </w:rPr>
        <w:t>Human QA reviewer training: how to review, approve, and override agent actions</w:t>
      </w:r>
    </w:p>
    <w:p>
      <w:pPr>
        <w:pStyle w:val="ListBullet"/>
        <w:spacing w:after="60"/>
        <w:ind w:left="360"/>
      </w:pPr>
      <w:r>
        <w:rPr>
          <w:rFonts w:ascii="Calibri" w:hAnsi="Calibri"/>
          <w:b w:val="0"/>
          <w:i w:val="0"/>
          <w:color w:val="666666"/>
          <w:sz w:val="22"/>
        </w:rPr>
        <w:t>Escalation path documentation: what happens when an agent is uncertain</w:t>
      </w:r>
    </w:p>
    <w:p>
      <w:pPr>
        <w:pStyle w:val="ListBullet"/>
        <w:spacing w:after="60"/>
        <w:ind w:left="360"/>
      </w:pPr>
      <w:r>
        <w:rPr>
          <w:rFonts w:ascii="Calibri" w:hAnsi="Calibri"/>
          <w:b w:val="0"/>
          <w:i w:val="0"/>
          <w:color w:val="666666"/>
          <w:sz w:val="22"/>
        </w:rPr>
        <w:t>30-day post-launch check-in to review performance and adjust configurations</w:t>
      </w:r>
    </w:p>
    <w:p>
      <w:pPr>
        <w:spacing w:before="240" w:after="80"/>
      </w:pPr>
      <w:r>
        <w:rPr>
          <w:rFonts w:ascii="Calibri" w:hAnsi="Calibri"/>
          <w:b/>
          <w:i w:val="0"/>
          <w:color w:val="E8A84C"/>
          <w:sz w:val="32"/>
        </w:rPr>
        <w:t>9. Deployment Roadmap</w:t>
      </w:r>
    </w:p>
    <w:p>
      <w:pPr>
        <w:spacing w:before="240" w:after="80"/>
      </w:pPr>
      <w:r>
        <w:rPr>
          <w:rFonts w:ascii="Calibri" w:hAnsi="Calibri"/>
          <w:b/>
          <w:i w:val="0"/>
          <w:color w:val="1A1A1A"/>
          <w:sz w:val="26"/>
        </w:rPr>
        <w:t>Phase 1 — Foundation (Month 1)</w:t>
      </w:r>
    </w:p>
    <w:p>
      <w:pPr>
        <w:pStyle w:val="ListBullet"/>
        <w:spacing w:after="60"/>
        <w:ind w:left="360"/>
      </w:pPr>
      <w:r>
        <w:rPr>
          <w:rFonts w:ascii="Calibri" w:hAnsi="Calibri"/>
          <w:b w:val="0"/>
          <w:i w:val="0"/>
          <w:color w:val="666666"/>
          <w:sz w:val="22"/>
        </w:rPr>
        <w:t>Complete kickoff and discovery session with stakeholder team</w:t>
      </w:r>
    </w:p>
    <w:p>
      <w:pPr>
        <w:pStyle w:val="ListBullet"/>
        <w:spacing w:after="60"/>
        <w:ind w:left="360"/>
      </w:pPr>
      <w:r>
        <w:rPr>
          <w:rFonts w:ascii="Calibri" w:hAnsi="Calibri"/>
          <w:b w:val="0"/>
          <w:i w:val="0"/>
          <w:color w:val="666666"/>
          <w:sz w:val="22"/>
        </w:rPr>
        <w:t>Provision tool integrations and API access (OAuth, credentials)</w:t>
      </w:r>
    </w:p>
    <w:p>
      <w:pPr>
        <w:pStyle w:val="ListBullet"/>
        <w:spacing w:after="60"/>
        <w:ind w:left="360"/>
      </w:pPr>
      <w:r>
        <w:rPr>
          <w:rFonts w:ascii="Calibri" w:hAnsi="Calibri"/>
          <w:b w:val="0"/>
          <w:i w:val="0"/>
          <w:color w:val="666666"/>
          <w:sz w:val="22"/>
        </w:rPr>
        <w:t>Deploy foundation agents and configure reporting chains</w:t>
      </w:r>
    </w:p>
    <w:p>
      <w:pPr>
        <w:pStyle w:val="ListBullet"/>
        <w:spacing w:after="60"/>
        <w:ind w:left="360"/>
      </w:pPr>
      <w:r>
        <w:rPr>
          <w:rFonts w:ascii="Calibri" w:hAnsi="Calibri"/>
          <w:b w:val="0"/>
          <w:i w:val="0"/>
          <w:color w:val="666666"/>
          <w:sz w:val="22"/>
        </w:rPr>
        <w:t>Complete DISC stakeholder profiling and knowledge base ingestion</w:t>
      </w:r>
    </w:p>
    <w:p>
      <w:pPr>
        <w:pStyle w:val="ListBullet"/>
        <w:spacing w:after="60"/>
        <w:ind w:left="360"/>
      </w:pPr>
      <w:r>
        <w:rPr>
          <w:rFonts w:ascii="Calibri" w:hAnsi="Calibri"/>
          <w:b w:val="0"/>
          <w:i w:val="0"/>
          <w:color w:val="666666"/>
          <w:sz w:val="22"/>
        </w:rPr>
        <w:t>Stand up RAG knowledge base, container isolation, and credential vaults</w:t>
      </w:r>
    </w:p>
    <w:p>
      <w:pPr>
        <w:pStyle w:val="ListBullet"/>
        <w:spacing w:after="60"/>
        <w:ind w:left="360"/>
      </w:pPr>
      <w:r>
        <w:rPr>
          <w:rFonts w:ascii="Calibri" w:hAnsi="Calibri"/>
          <w:b w:val="0"/>
          <w:i w:val="0"/>
          <w:color w:val="666666"/>
          <w:sz w:val="22"/>
        </w:rPr>
        <w:t>Run 2-week supervised pilot with daily check-ins</w:t>
      </w:r>
    </w:p>
    <w:p/>
    <w:p>
      <w:pPr>
        <w:spacing w:before="240" w:after="80"/>
      </w:pPr>
      <w:r>
        <w:rPr>
          <w:rFonts w:ascii="Calibri" w:hAnsi="Calibri"/>
          <w:b/>
          <w:i w:val="0"/>
          <w:color w:val="1A1A1A"/>
          <w:sz w:val="26"/>
        </w:rPr>
        <w:t>Phase 2 — Finance + Revenue (Month 2)</w:t>
      </w:r>
    </w:p>
    <w:p>
      <w:pPr>
        <w:pStyle w:val="ListBullet"/>
        <w:spacing w:after="60"/>
        <w:ind w:left="360"/>
      </w:pPr>
      <w:r>
        <w:rPr>
          <w:rFonts w:ascii="Calibri" w:hAnsi="Calibri"/>
          <w:b w:val="0"/>
          <w:i w:val="0"/>
          <w:color w:val="666666"/>
          <w:sz w:val="22"/>
        </w:rPr>
        <w:t>Deploy growth-phase agents and expand automation coverage</w:t>
      </w:r>
    </w:p>
    <w:p>
      <w:pPr>
        <w:pStyle w:val="ListBullet"/>
        <w:spacing w:after="60"/>
        <w:ind w:left="360"/>
      </w:pPr>
      <w:r>
        <w:rPr>
          <w:rFonts w:ascii="Calibri" w:hAnsi="Calibri"/>
          <w:b w:val="0"/>
          <w:i w:val="0"/>
          <w:color w:val="666666"/>
          <w:sz w:val="22"/>
        </w:rPr>
        <w:t>Automate top 5 identified workflows from Phase 1 learnings</w:t>
      </w:r>
    </w:p>
    <w:p>
      <w:pPr>
        <w:pStyle w:val="ListBullet"/>
        <w:spacing w:after="60"/>
        <w:ind w:left="360"/>
      </w:pPr>
      <w:r>
        <w:rPr>
          <w:rFonts w:ascii="Calibri" w:hAnsi="Calibri"/>
          <w:b w:val="0"/>
          <w:i w:val="0"/>
          <w:color w:val="666666"/>
          <w:sz w:val="22"/>
        </w:rPr>
        <w:t>Full CRM, pipeline, and partner platform integrations live</w:t>
      </w:r>
    </w:p>
    <w:p>
      <w:pPr>
        <w:pStyle w:val="ListBullet"/>
        <w:spacing w:after="60"/>
        <w:ind w:left="360"/>
      </w:pPr>
      <w:r>
        <w:rPr>
          <w:rFonts w:ascii="Calibri" w:hAnsi="Calibri"/>
          <w:b w:val="0"/>
          <w:i w:val="0"/>
          <w:color w:val="666666"/>
          <w:sz w:val="22"/>
        </w:rPr>
        <w:t>Transition to weekly check-ins as agents reach steady state</w:t>
      </w:r>
    </w:p>
    <w:p>
      <w:pPr>
        <w:pStyle w:val="ListBullet"/>
        <w:spacing w:after="60"/>
        <w:ind w:left="360"/>
      </w:pPr>
      <w:r>
        <w:rPr>
          <w:rFonts w:ascii="Calibri" w:hAnsi="Calibri"/>
          <w:b w:val="0"/>
          <w:i w:val="0"/>
          <w:color w:val="666666"/>
          <w:sz w:val="22"/>
        </w:rPr>
        <w:t>First monthly performance report delivered to client team</w:t>
      </w:r>
    </w:p>
    <w:p/>
    <w:p>
      <w:pPr>
        <w:spacing w:before="240" w:after="80"/>
      </w:pPr>
      <w:r>
        <w:rPr>
          <w:rFonts w:ascii="Calibri" w:hAnsi="Calibri"/>
          <w:b/>
          <w:i w:val="0"/>
          <w:color w:val="E8A84C"/>
          <w:sz w:val="32"/>
        </w:rPr>
        <w:t>10. Deployment Commitment</w:t>
      </w:r>
    </w:p>
    <w:p>
      <w:pPr>
        <w:spacing w:after="120"/>
      </w:pPr>
      <w:r>
        <w:rPr>
          <w:rFonts w:ascii="Calibri" w:hAnsi="Calibri"/>
          <w:b w:val="0"/>
          <w:i w:val="0"/>
          <w:color w:val="666666"/>
          <w:sz w:val="22"/>
        </w:rPr>
        <w:t>VeloXP LLC commits to deploying, maintaining, and continuously improving the AI workforce described in this document for Chronic USA. Our team is accountable for agent uptime, quality of outputs, and alignment with your business goals throughout the engagement term.</w:t>
      </w:r>
    </w:p>
    <w:p>
      <w:pPr>
        <w:spacing w:after="120"/>
      </w:pPr>
      <w:r>
        <w:rPr>
          <w:rFonts w:ascii="Calibri" w:hAnsi="Calibri"/>
          <w:b w:val="0"/>
          <w:i w:val="0"/>
          <w:color w:val="666666"/>
          <w:sz w:val="22"/>
        </w:rPr>
        <w:t>All agents are monitored 24/7. Any degradation in performance, unexpected behavior, or integration failure will be addressed within 4 business hours of detection. Clients receive a monthly performance report covering task completion rates, accuracy metrics, and next-month improvement priorities.</w:t>
      </w:r>
    </w:p>
    <w:p>
      <w:pPr>
        <w:spacing w:after="120"/>
      </w:pPr>
      <w:r>
        <w:rPr>
          <w:rFonts w:ascii="Calibri" w:hAnsi="Calibri"/>
          <w:b w:val="0"/>
          <w:i w:val="0"/>
          <w:color w:val="666666"/>
          <w:sz w:val="22"/>
        </w:rPr>
        <w:t>This engagement is not software licensing — it is a managed workforce. VeloXP owns the operational responsibility. You own the results.</w:t>
      </w:r>
    </w:p>
    <w:p>
      <w:r>
        <w:br w:type="page"/>
      </w:r>
    </w:p>
    <w:p>
      <w:pPr>
        <w:spacing w:before="240" w:after="80"/>
      </w:pPr>
      <w:r>
        <w:rPr>
          <w:rFonts w:ascii="Calibri" w:hAnsi="Calibri"/>
          <w:b/>
          <w:i w:val="0"/>
          <w:color w:val="E8A84C"/>
          <w:sz w:val="32"/>
        </w:rPr>
        <w:t>Appendix A: Department-by-Agent Deployment Map</w:t>
      </w:r>
    </w:p>
    <w:p>
      <w:pPr>
        <w:spacing w:after="120"/>
      </w:pPr>
      <w:r>
        <w:rPr>
          <w:rFonts w:ascii="Calibri" w:hAnsi="Calibri"/>
          <w:b w:val="0"/>
          <w:i w:val="0"/>
          <w:color w:val="666666"/>
          <w:sz w:val="22"/>
        </w:rPr>
        <w:t>The table below maps each deployed AI agent to the practice departments they serve and the phases in which their core workflows are activated. Use this as a reference guide for your team when routing questions, approvals, or requests to the right agent.</w:t>
      </w:r>
    </w:p>
    <w:p/>
    <w:tbl>
      <w:tblPr>
        <w:jc w:val="left"/>
        <w:tblLook w:firstColumn="1" w:firstRow="1" w:lastColumn="0" w:lastRow="0" w:noHBand="0" w:noVBand="1" w:val="04A0"/>
        <w:tblW w:w="10080" w:type="dxa"/>
        <w:tblLayout w:type="fixed"/>
      </w:tblPr>
      <w:tblGrid>
        <w:gridCol w:w="1344"/>
        <w:gridCol w:w="2150"/>
        <w:gridCol w:w="1344"/>
        <w:gridCol w:w="2150"/>
        <w:gridCol w:w="3092"/>
      </w:tblGrid>
      <w:tr>
        <w:tc>
          <w:tcPr>
            <w:tcW w:w="1344" w:type="dxa"/>
            <w:shd w:val="clear" w:color="auto" w:fill="1A1A1A"/>
            <w:tcBorders>
              <w:top w:val="single" w:sz="4" w:space="0" w:color="D0D0D0"/>
              <w:left w:val="single" w:sz="4" w:space="0" w:color="D0D0D0"/>
              <w:bottom w:val="single" w:sz="4" w:space="0" w:color="D0D0D0"/>
              <w:right w:val="single" w:sz="4" w:space="0" w:color="D0D0D0"/>
            </w:tcBorders>
          </w:tcPr>
          <w:p>
            <w:r/>
            <w:r>
              <w:rPr>
                <w:rFonts w:ascii="Calibri" w:hAnsi="Calibri"/>
                <w:b/>
                <w:i w:val="0"/>
                <w:color w:val="FFFFFF"/>
                <w:sz w:val="22"/>
              </w:rPr>
              <w:t>Agent</w:t>
            </w:r>
          </w:p>
        </w:tc>
        <w:tc>
          <w:tcPr>
            <w:tcW w:w="2150" w:type="dxa"/>
            <w:shd w:val="clear" w:color="auto" w:fill="1A1A1A"/>
            <w:tcBorders>
              <w:top w:val="single" w:sz="4" w:space="0" w:color="D0D0D0"/>
              <w:left w:val="single" w:sz="4" w:space="0" w:color="D0D0D0"/>
              <w:bottom w:val="single" w:sz="4" w:space="0" w:color="D0D0D0"/>
              <w:right w:val="single" w:sz="4" w:space="0" w:color="D0D0D0"/>
            </w:tcBorders>
          </w:tcPr>
          <w:p>
            <w:r/>
            <w:r>
              <w:rPr>
                <w:rFonts w:ascii="Calibri" w:hAnsi="Calibri"/>
                <w:b/>
                <w:i w:val="0"/>
                <w:color w:val="FFFFFF"/>
                <w:sz w:val="22"/>
              </w:rPr>
              <w:t>Role</w:t>
            </w:r>
          </w:p>
        </w:tc>
        <w:tc>
          <w:tcPr>
            <w:tcW w:w="1344" w:type="dxa"/>
            <w:shd w:val="clear" w:color="auto" w:fill="1A1A1A"/>
            <w:tcBorders>
              <w:top w:val="single" w:sz="4" w:space="0" w:color="D0D0D0"/>
              <w:left w:val="single" w:sz="4" w:space="0" w:color="D0D0D0"/>
              <w:bottom w:val="single" w:sz="4" w:space="0" w:color="D0D0D0"/>
              <w:right w:val="single" w:sz="4" w:space="0" w:color="D0D0D0"/>
            </w:tcBorders>
          </w:tcPr>
          <w:p>
            <w:r/>
            <w:r>
              <w:rPr>
                <w:rFonts w:ascii="Calibri" w:hAnsi="Calibri"/>
                <w:b/>
                <w:i w:val="0"/>
                <w:color w:val="FFFFFF"/>
                <w:sz w:val="22"/>
              </w:rPr>
              <w:t>Phase</w:t>
            </w:r>
          </w:p>
        </w:tc>
        <w:tc>
          <w:tcPr>
            <w:tcW w:w="2150" w:type="dxa"/>
            <w:shd w:val="clear" w:color="auto" w:fill="1A1A1A"/>
            <w:tcBorders>
              <w:top w:val="single" w:sz="4" w:space="0" w:color="D0D0D0"/>
              <w:left w:val="single" w:sz="4" w:space="0" w:color="D0D0D0"/>
              <w:bottom w:val="single" w:sz="4" w:space="0" w:color="D0D0D0"/>
              <w:right w:val="single" w:sz="4" w:space="0" w:color="D0D0D0"/>
            </w:tcBorders>
          </w:tcPr>
          <w:p>
            <w:r/>
            <w:r>
              <w:rPr>
                <w:rFonts w:ascii="Calibri" w:hAnsi="Calibri"/>
                <w:b/>
                <w:i w:val="0"/>
                <w:color w:val="FFFFFF"/>
                <w:sz w:val="22"/>
              </w:rPr>
              <w:t>Primary Department</w:t>
            </w:r>
          </w:p>
        </w:tc>
        <w:tc>
          <w:tcPr>
            <w:tcW w:w="3092" w:type="dxa"/>
            <w:shd w:val="clear" w:color="auto" w:fill="1A1A1A"/>
            <w:tcBorders>
              <w:top w:val="single" w:sz="4" w:space="0" w:color="D0D0D0"/>
              <w:left w:val="single" w:sz="4" w:space="0" w:color="D0D0D0"/>
              <w:bottom w:val="single" w:sz="4" w:space="0" w:color="D0D0D0"/>
              <w:right w:val="single" w:sz="4" w:space="0" w:color="D0D0D0"/>
            </w:tcBorders>
          </w:tcPr>
          <w:p>
            <w:r/>
            <w:r>
              <w:rPr>
                <w:rFonts w:ascii="Calibri" w:hAnsi="Calibri"/>
                <w:b/>
                <w:i w:val="0"/>
                <w:color w:val="FFFFFF"/>
                <w:sz w:val="22"/>
              </w:rPr>
              <w:t>Key Focus</w:t>
            </w:r>
          </w:p>
        </w:tc>
      </w:tr>
      <w:tr>
        <w:tc>
          <w:tcPr>
            <w:tcW w:w="1344"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Grace</w:t>
            </w:r>
          </w:p>
        </w:tc>
        <w:tc>
          <w:tcPr>
            <w:tcW w:w="2150"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Executive Intelligence Agent</w:t>
            </w:r>
          </w:p>
        </w:tc>
        <w:tc>
          <w:tcPr>
            <w:tcW w:w="1344"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Phase 1 — Foundation (Month 1)</w:t>
            </w:r>
          </w:p>
        </w:tc>
        <w:tc>
          <w:tcPr>
            <w:tcW w:w="2150"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Executive / Operations</w:t>
            </w:r>
          </w:p>
        </w:tc>
        <w:tc>
          <w:tcPr>
            <w:tcW w:w="3092"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Leadership reporting, daily briefings, commitment tracking</w:t>
            </w:r>
          </w:p>
        </w:tc>
      </w:tr>
      <w:tr>
        <w:tc>
          <w:tcPr>
            <w:tcW w:w="1344" w:type="dxa"/>
            <w:shd w:val="clear" w:color="auto" w:fill="FFFFFF"/>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Sterling</w:t>
            </w:r>
          </w:p>
        </w:tc>
        <w:tc>
          <w:tcPr>
            <w:tcW w:w="2150" w:type="dxa"/>
            <w:shd w:val="clear" w:color="auto" w:fill="FFFFFF"/>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Operations Controller Agent</w:t>
            </w:r>
          </w:p>
        </w:tc>
        <w:tc>
          <w:tcPr>
            <w:tcW w:w="1344" w:type="dxa"/>
            <w:shd w:val="clear" w:color="auto" w:fill="FFFFFF"/>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Phase 1 — Foundation (Month 1)</w:t>
            </w:r>
          </w:p>
        </w:tc>
        <w:tc>
          <w:tcPr>
            <w:tcW w:w="2150" w:type="dxa"/>
            <w:shd w:val="clear" w:color="auto" w:fill="FFFFFF"/>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Executive / Operations</w:t>
            </w:r>
          </w:p>
        </w:tc>
        <w:tc>
          <w:tcPr>
            <w:tcW w:w="3092" w:type="dxa"/>
            <w:shd w:val="clear" w:color="auto" w:fill="FFFFFF"/>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Leadership reporting, daily briefings, commitment tracking</w:t>
            </w:r>
          </w:p>
        </w:tc>
      </w:tr>
      <w:tr>
        <w:tc>
          <w:tcPr>
            <w:tcW w:w="1344"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Sage</w:t>
            </w:r>
          </w:p>
        </w:tc>
        <w:tc>
          <w:tcPr>
            <w:tcW w:w="2150"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Project Coordinator Agent</w:t>
            </w:r>
          </w:p>
        </w:tc>
        <w:tc>
          <w:tcPr>
            <w:tcW w:w="1344"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Phase 1 — Foundation (Month 1)</w:t>
            </w:r>
          </w:p>
        </w:tc>
        <w:tc>
          <w:tcPr>
            <w:tcW w:w="2150"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Executive / Operations</w:t>
            </w:r>
          </w:p>
        </w:tc>
        <w:tc>
          <w:tcPr>
            <w:tcW w:w="3092"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Leadership reporting, daily briefings, commitment tracking</w:t>
            </w:r>
          </w:p>
        </w:tc>
      </w:tr>
      <w:tr>
        <w:tc>
          <w:tcPr>
            <w:tcW w:w="1344" w:type="dxa"/>
            <w:shd w:val="clear" w:color="auto" w:fill="FFFFFF"/>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Ledger</w:t>
            </w:r>
          </w:p>
        </w:tc>
        <w:tc>
          <w:tcPr>
            <w:tcW w:w="2150" w:type="dxa"/>
            <w:shd w:val="clear" w:color="auto" w:fill="FFFFFF"/>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Finance &amp; AP Agent</w:t>
            </w:r>
          </w:p>
        </w:tc>
        <w:tc>
          <w:tcPr>
            <w:tcW w:w="1344" w:type="dxa"/>
            <w:shd w:val="clear" w:color="auto" w:fill="FFFFFF"/>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Phase 2 — Finance + Revenue (Month 2)</w:t>
            </w:r>
          </w:p>
        </w:tc>
        <w:tc>
          <w:tcPr>
            <w:tcW w:w="2150" w:type="dxa"/>
            <w:shd w:val="clear" w:color="auto" w:fill="FFFFFF"/>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Finance</w:t>
            </w:r>
          </w:p>
        </w:tc>
        <w:tc>
          <w:tcPr>
            <w:tcW w:w="3092" w:type="dxa"/>
            <w:shd w:val="clear" w:color="auto" w:fill="FFFFFF"/>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Revenue reporting, financing optimization, marketing ROI</w:t>
            </w:r>
          </w:p>
        </w:tc>
      </w:tr>
      <w:tr>
        <w:tc>
          <w:tcPr>
            <w:tcW w:w="1344"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Chase</w:t>
            </w:r>
          </w:p>
        </w:tc>
        <w:tc>
          <w:tcPr>
            <w:tcW w:w="2150"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Revenue &amp; AR Agent</w:t>
            </w:r>
          </w:p>
        </w:tc>
        <w:tc>
          <w:tcPr>
            <w:tcW w:w="1344"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Phase 2 — Finance + Revenue (Month 2)</w:t>
            </w:r>
          </w:p>
        </w:tc>
        <w:tc>
          <w:tcPr>
            <w:tcW w:w="2150"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Finance</w:t>
            </w:r>
          </w:p>
        </w:tc>
        <w:tc>
          <w:tcPr>
            <w:tcW w:w="3092"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Revenue reporting, financing optimization, marketing ROI</w:t>
            </w:r>
          </w:p>
        </w:tc>
      </w:tr>
    </w:tbl>
    <w:p/>
    <w:p/>
    <w:p>
      <w:r>
        <w:br w:type="page"/>
      </w:r>
    </w:p>
    <w:p>
      <w:pPr>
        <w:spacing w:before="240" w:after="80"/>
      </w:pPr>
      <w:r>
        <w:rPr>
          <w:rFonts w:ascii="Calibri" w:hAnsi="Calibri"/>
          <w:b/>
          <w:i w:val="0"/>
          <w:color w:val="E8A84C"/>
          <w:sz w:val="32"/>
        </w:rPr>
        <w:t>Appendix B: Agent Deployment Inventory</w:t>
      </w:r>
    </w:p>
    <w:p>
      <w:pPr>
        <w:spacing w:after="120"/>
      </w:pPr>
      <w:r>
        <w:rPr>
          <w:rFonts w:ascii="Calibri" w:hAnsi="Calibri"/>
          <w:b w:val="0"/>
          <w:i w:val="0"/>
          <w:color w:val="666666"/>
          <w:sz w:val="22"/>
        </w:rPr>
        <w:t>This appendix defines the complete responsibility set for each deployed agent, the recurring tasks they own, and the workflows built during onboarding. The summary table below lists every agent with role, phase, reporting line, and designated human QA reviewer; per-agent detail cards follow. Workflow complexity: Low = 1–2 days, Medium = 3–5 days, High = 1–2 weeks.</w:t>
      </w:r>
    </w:p>
    <w:p/>
    <w:p>
      <w:pPr>
        <w:spacing w:before="240" w:after="80"/>
      </w:pPr>
      <w:r>
        <w:rPr>
          <w:rFonts w:ascii="Calibri" w:hAnsi="Calibri"/>
          <w:b/>
          <w:i w:val="0"/>
          <w:color w:val="1A1A1A"/>
          <w:sz w:val="26"/>
        </w:rPr>
        <w:t>Deployment Summary</w:t>
      </w:r>
    </w:p>
    <w:tbl>
      <w:tblPr>
        <w:jc w:val="left"/>
        <w:tblLook w:firstColumn="1" w:firstRow="1" w:lastColumn="0" w:lastRow="0" w:noHBand="0" w:noVBand="1" w:val="04A0"/>
        <w:tblW w:w="10080" w:type="dxa"/>
        <w:tblLayout w:type="fixed"/>
      </w:tblPr>
      <w:tblGrid>
        <w:gridCol w:w="1440"/>
        <w:gridCol w:w="2304"/>
        <w:gridCol w:w="2016"/>
        <w:gridCol w:w="2160"/>
        <w:gridCol w:w="2160"/>
      </w:tblGrid>
      <w:tr>
        <w:tc>
          <w:tcPr>
            <w:tcW w:w="1440" w:type="dxa"/>
            <w:shd w:val="clear" w:color="auto" w:fill="1A1A1A"/>
            <w:tcBorders>
              <w:top w:val="single" w:sz="4" w:space="0" w:color="D0D0D0"/>
              <w:left w:val="single" w:sz="4" w:space="0" w:color="D0D0D0"/>
              <w:bottom w:val="single" w:sz="4" w:space="0" w:color="D0D0D0"/>
              <w:right w:val="single" w:sz="4" w:space="0" w:color="D0D0D0"/>
            </w:tcBorders>
          </w:tcPr>
          <w:p>
            <w:r/>
            <w:r>
              <w:rPr>
                <w:rFonts w:ascii="Calibri" w:hAnsi="Calibri"/>
                <w:b/>
                <w:i w:val="0"/>
                <w:color w:val="FFFFFF"/>
                <w:sz w:val="22"/>
              </w:rPr>
              <w:t>Agent</w:t>
            </w:r>
          </w:p>
        </w:tc>
        <w:tc>
          <w:tcPr>
            <w:tcW w:w="2304" w:type="dxa"/>
            <w:shd w:val="clear" w:color="auto" w:fill="1A1A1A"/>
            <w:tcBorders>
              <w:top w:val="single" w:sz="4" w:space="0" w:color="D0D0D0"/>
              <w:left w:val="single" w:sz="4" w:space="0" w:color="D0D0D0"/>
              <w:bottom w:val="single" w:sz="4" w:space="0" w:color="D0D0D0"/>
              <w:right w:val="single" w:sz="4" w:space="0" w:color="D0D0D0"/>
            </w:tcBorders>
          </w:tcPr>
          <w:p>
            <w:r/>
            <w:r>
              <w:rPr>
                <w:rFonts w:ascii="Calibri" w:hAnsi="Calibri"/>
                <w:b/>
                <w:i w:val="0"/>
                <w:color w:val="FFFFFF"/>
                <w:sz w:val="22"/>
              </w:rPr>
              <w:t>Role</w:t>
            </w:r>
          </w:p>
        </w:tc>
        <w:tc>
          <w:tcPr>
            <w:tcW w:w="2016" w:type="dxa"/>
            <w:shd w:val="clear" w:color="auto" w:fill="1A1A1A"/>
            <w:tcBorders>
              <w:top w:val="single" w:sz="4" w:space="0" w:color="D0D0D0"/>
              <w:left w:val="single" w:sz="4" w:space="0" w:color="D0D0D0"/>
              <w:bottom w:val="single" w:sz="4" w:space="0" w:color="D0D0D0"/>
              <w:right w:val="single" w:sz="4" w:space="0" w:color="D0D0D0"/>
            </w:tcBorders>
          </w:tcPr>
          <w:p>
            <w:r/>
            <w:r>
              <w:rPr>
                <w:rFonts w:ascii="Calibri" w:hAnsi="Calibri"/>
                <w:b/>
                <w:i w:val="0"/>
                <w:color w:val="FFFFFF"/>
                <w:sz w:val="22"/>
              </w:rPr>
              <w:t>Phase</w:t>
            </w:r>
          </w:p>
        </w:tc>
        <w:tc>
          <w:tcPr>
            <w:tcW w:w="2160" w:type="dxa"/>
            <w:shd w:val="clear" w:color="auto" w:fill="1A1A1A"/>
            <w:tcBorders>
              <w:top w:val="single" w:sz="4" w:space="0" w:color="D0D0D0"/>
              <w:left w:val="single" w:sz="4" w:space="0" w:color="D0D0D0"/>
              <w:bottom w:val="single" w:sz="4" w:space="0" w:color="D0D0D0"/>
              <w:right w:val="single" w:sz="4" w:space="0" w:color="D0D0D0"/>
            </w:tcBorders>
          </w:tcPr>
          <w:p>
            <w:r/>
            <w:r>
              <w:rPr>
                <w:rFonts w:ascii="Calibri" w:hAnsi="Calibri"/>
                <w:b/>
                <w:i w:val="0"/>
                <w:color w:val="FFFFFF"/>
                <w:sz w:val="22"/>
              </w:rPr>
              <w:t>Reports To</w:t>
            </w:r>
          </w:p>
        </w:tc>
        <w:tc>
          <w:tcPr>
            <w:tcW w:w="2160" w:type="dxa"/>
            <w:shd w:val="clear" w:color="auto" w:fill="1A1A1A"/>
            <w:tcBorders>
              <w:top w:val="single" w:sz="4" w:space="0" w:color="D0D0D0"/>
              <w:left w:val="single" w:sz="4" w:space="0" w:color="D0D0D0"/>
              <w:bottom w:val="single" w:sz="4" w:space="0" w:color="D0D0D0"/>
              <w:right w:val="single" w:sz="4" w:space="0" w:color="D0D0D0"/>
            </w:tcBorders>
          </w:tcPr>
          <w:p>
            <w:r/>
            <w:r>
              <w:rPr>
                <w:rFonts w:ascii="Calibri" w:hAnsi="Calibri"/>
                <w:b/>
                <w:i w:val="0"/>
                <w:color w:val="FFFFFF"/>
                <w:sz w:val="22"/>
              </w:rPr>
              <w:t>Human QA</w:t>
            </w:r>
          </w:p>
        </w:tc>
      </w:tr>
      <w:tr>
        <w:tc>
          <w:tcPr>
            <w:tcW w:w="1440"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Grace</w:t>
            </w:r>
          </w:p>
        </w:tc>
        <w:tc>
          <w:tcPr>
            <w:tcW w:w="2304"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Executive Intelligence Agent</w:t>
            </w:r>
          </w:p>
        </w:tc>
        <w:tc>
          <w:tcPr>
            <w:tcW w:w="2016"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Phase 1 — Foundation (Month 1)</w:t>
            </w:r>
          </w:p>
        </w:tc>
        <w:tc>
          <w:tcPr>
            <w:tcW w:w="2160"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Main Orchestration</w:t>
            </w:r>
          </w:p>
        </w:tc>
        <w:tc>
          <w:tcPr>
            <w:tcW w:w="2160"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TBD (client-designated)</w:t>
            </w:r>
          </w:p>
        </w:tc>
      </w:tr>
      <w:tr>
        <w:tc>
          <w:tcPr>
            <w:tcW w:w="1440" w:type="dxa"/>
            <w:shd w:val="clear" w:color="auto" w:fill="FFFFFF"/>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Sterling</w:t>
            </w:r>
          </w:p>
        </w:tc>
        <w:tc>
          <w:tcPr>
            <w:tcW w:w="2304" w:type="dxa"/>
            <w:shd w:val="clear" w:color="auto" w:fill="FFFFFF"/>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Operations Controller Agent</w:t>
            </w:r>
          </w:p>
        </w:tc>
        <w:tc>
          <w:tcPr>
            <w:tcW w:w="2016" w:type="dxa"/>
            <w:shd w:val="clear" w:color="auto" w:fill="FFFFFF"/>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Phase 1 — Foundation (Month 1)</w:t>
            </w:r>
          </w:p>
        </w:tc>
        <w:tc>
          <w:tcPr>
            <w:tcW w:w="2160" w:type="dxa"/>
            <w:shd w:val="clear" w:color="auto" w:fill="FFFFFF"/>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Main Orchestration</w:t>
            </w:r>
          </w:p>
        </w:tc>
        <w:tc>
          <w:tcPr>
            <w:tcW w:w="2160" w:type="dxa"/>
            <w:shd w:val="clear" w:color="auto" w:fill="FFFFFF"/>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TBD (client-designated)</w:t>
            </w:r>
          </w:p>
        </w:tc>
      </w:tr>
      <w:tr>
        <w:tc>
          <w:tcPr>
            <w:tcW w:w="1440"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Sage</w:t>
            </w:r>
          </w:p>
        </w:tc>
        <w:tc>
          <w:tcPr>
            <w:tcW w:w="2304"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Project Coordinator Agent</w:t>
            </w:r>
          </w:p>
        </w:tc>
        <w:tc>
          <w:tcPr>
            <w:tcW w:w="2016"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Phase 1 — Foundation (Month 1)</w:t>
            </w:r>
          </w:p>
        </w:tc>
        <w:tc>
          <w:tcPr>
            <w:tcW w:w="2160"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Main Orchestration</w:t>
            </w:r>
          </w:p>
        </w:tc>
        <w:tc>
          <w:tcPr>
            <w:tcW w:w="2160"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TBD (client-designated)</w:t>
            </w:r>
          </w:p>
        </w:tc>
      </w:tr>
      <w:tr>
        <w:tc>
          <w:tcPr>
            <w:tcW w:w="1440" w:type="dxa"/>
            <w:shd w:val="clear" w:color="auto" w:fill="FFFFFF"/>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Ledger</w:t>
            </w:r>
          </w:p>
        </w:tc>
        <w:tc>
          <w:tcPr>
            <w:tcW w:w="2304" w:type="dxa"/>
            <w:shd w:val="clear" w:color="auto" w:fill="FFFFFF"/>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Finance &amp; AP Agent</w:t>
            </w:r>
          </w:p>
        </w:tc>
        <w:tc>
          <w:tcPr>
            <w:tcW w:w="2016" w:type="dxa"/>
            <w:shd w:val="clear" w:color="auto" w:fill="FFFFFF"/>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Phase 2 — Finance + Revenue (Month 2)</w:t>
            </w:r>
          </w:p>
        </w:tc>
        <w:tc>
          <w:tcPr>
            <w:tcW w:w="2160" w:type="dxa"/>
            <w:shd w:val="clear" w:color="auto" w:fill="FFFFFF"/>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Main Orchestration</w:t>
            </w:r>
          </w:p>
        </w:tc>
        <w:tc>
          <w:tcPr>
            <w:tcW w:w="2160" w:type="dxa"/>
            <w:shd w:val="clear" w:color="auto" w:fill="FFFFFF"/>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TBD (client-designated)</w:t>
            </w:r>
          </w:p>
        </w:tc>
      </w:tr>
      <w:tr>
        <w:tc>
          <w:tcPr>
            <w:tcW w:w="1440"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Chase</w:t>
            </w:r>
          </w:p>
        </w:tc>
        <w:tc>
          <w:tcPr>
            <w:tcW w:w="2304"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Revenue &amp; AR Agent</w:t>
            </w:r>
          </w:p>
        </w:tc>
        <w:tc>
          <w:tcPr>
            <w:tcW w:w="2016"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Phase 2 — Finance + Revenue (Month 2)</w:t>
            </w:r>
          </w:p>
        </w:tc>
        <w:tc>
          <w:tcPr>
            <w:tcW w:w="2160"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Main Orchestration</w:t>
            </w:r>
          </w:p>
        </w:tc>
        <w:tc>
          <w:tcPr>
            <w:tcW w:w="2160"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TBD (client-designated)</w:t>
            </w:r>
          </w:p>
        </w:tc>
      </w:tr>
    </w:tbl>
    <w:p/>
    <w:p/>
    <w:p>
      <w:pPr>
        <w:spacing w:before="240" w:after="80"/>
      </w:pPr>
      <w:r>
        <w:rPr>
          <w:rFonts w:ascii="Calibri" w:hAnsi="Calibri"/>
          <w:b/>
          <w:i w:val="0"/>
          <w:color w:val="1A1A1A"/>
          <w:sz w:val="26"/>
        </w:rPr>
        <w:t>Grace — Executive Intelligence Agent</w:t>
      </w:r>
    </w:p>
    <w:p>
      <w:pPr>
        <w:spacing w:after="120"/>
      </w:pPr>
      <w:r>
        <w:rPr>
          <w:rFonts w:ascii="Calibri" w:hAnsi="Calibri"/>
          <w:b w:val="0"/>
          <w:i w:val="0"/>
          <w:color w:val="666666"/>
          <w:sz w:val="22"/>
        </w:rPr>
        <w:t>Phase: Phase 1 — Foundation (Month 1)</w:t>
      </w:r>
    </w:p>
    <w:p>
      <w:pPr>
        <w:spacing w:after="120"/>
      </w:pPr>
      <w:r>
        <w:rPr>
          <w:rFonts w:ascii="Calibri" w:hAnsi="Calibri"/>
          <w:b w:val="0"/>
          <w:i w:val="0"/>
          <w:color w:val="666666"/>
          <w:sz w:val="22"/>
        </w:rPr>
        <w:t>Reports to: Main Orchestration</w:t>
      </w:r>
    </w:p>
    <w:p>
      <w:pPr>
        <w:spacing w:after="120"/>
      </w:pPr>
      <w:r>
        <w:rPr>
          <w:rFonts w:ascii="Calibri" w:hAnsi="Calibri"/>
          <w:b w:val="0"/>
          <w:i w:val="0"/>
          <w:color w:val="666666"/>
          <w:sz w:val="22"/>
        </w:rPr>
        <w:t>Human QA: TBD (client-designated)</w:t>
      </w:r>
    </w:p>
    <w:p/>
    <w:p>
      <w:pPr>
        <w:spacing w:before="240" w:after="80"/>
      </w:pPr>
      <w:r>
        <w:rPr>
          <w:rFonts w:ascii="Calibri" w:hAnsi="Calibri"/>
          <w:b/>
          <w:i w:val="0"/>
          <w:color w:val="1A1A1A"/>
          <w:sz w:val="26"/>
        </w:rPr>
        <w:t>Core Responsibilities</w:t>
      </w:r>
    </w:p>
    <w:tbl>
      <w:tblPr>
        <w:jc w:val="left"/>
        <w:tblLook w:firstColumn="1" w:firstRow="1" w:lastColumn="0" w:lastRow="0" w:noHBand="0" w:noVBand="1" w:val="04A0"/>
        <w:tblW w:w="10080" w:type="dxa"/>
        <w:tblLayout w:type="fixed"/>
      </w:tblPr>
      <w:tblGrid>
        <w:gridCol w:w="10080"/>
      </w:tblGrid>
      <w:tr>
        <w:tc>
          <w:tcPr>
            <w:tcW w:w="10080" w:type="dxa"/>
            <w:shd w:val="clear" w:color="auto" w:fill="1A1A1A"/>
            <w:tcBorders>
              <w:top w:val="single" w:sz="4" w:space="0" w:color="D0D0D0"/>
              <w:left w:val="single" w:sz="4" w:space="0" w:color="D0D0D0"/>
              <w:bottom w:val="single" w:sz="4" w:space="0" w:color="D0D0D0"/>
              <w:right w:val="single" w:sz="4" w:space="0" w:color="D0D0D0"/>
            </w:tcBorders>
          </w:tcPr>
          <w:p>
            <w:r/>
            <w:r>
              <w:rPr>
                <w:rFonts w:ascii="Calibri" w:hAnsi="Calibri"/>
                <w:b/>
                <w:i w:val="0"/>
                <w:color w:val="FFFFFF"/>
                <w:sz w:val="22"/>
              </w:rPr>
              <w:t>Responsibility</w:t>
            </w:r>
          </w:p>
        </w:tc>
      </w:tr>
      <w:tr>
        <w:tc>
          <w:tcPr>
            <w:tcW w:w="10080"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 Capabilities: daily briefs, meeting prep, action capture, email triage, calendar management, weekly priorities digest</w:t>
            </w:r>
          </w:p>
        </w:tc>
      </w:tr>
    </w:tbl>
    <w:p/>
    <w:p/>
    <w:p>
      <w:pPr>
        <w:spacing w:before="240" w:after="80"/>
      </w:pPr>
      <w:r>
        <w:rPr>
          <w:rFonts w:ascii="Calibri" w:hAnsi="Calibri"/>
          <w:b/>
          <w:i w:val="0"/>
          <w:color w:val="1A1A1A"/>
          <w:sz w:val="26"/>
        </w:rPr>
        <w:t>Sterling — Operations Controller Agent</w:t>
      </w:r>
    </w:p>
    <w:p>
      <w:pPr>
        <w:spacing w:after="120"/>
      </w:pPr>
      <w:r>
        <w:rPr>
          <w:rFonts w:ascii="Calibri" w:hAnsi="Calibri"/>
          <w:b w:val="0"/>
          <w:i w:val="0"/>
          <w:color w:val="666666"/>
          <w:sz w:val="22"/>
        </w:rPr>
        <w:t>Phase: Phase 1 — Foundation (Month 1)</w:t>
      </w:r>
    </w:p>
    <w:p>
      <w:pPr>
        <w:spacing w:after="120"/>
      </w:pPr>
      <w:r>
        <w:rPr>
          <w:rFonts w:ascii="Calibri" w:hAnsi="Calibri"/>
          <w:b w:val="0"/>
          <w:i w:val="0"/>
          <w:color w:val="666666"/>
          <w:sz w:val="22"/>
        </w:rPr>
        <w:t>Reports to: Main Orchestration</w:t>
      </w:r>
    </w:p>
    <w:p>
      <w:pPr>
        <w:spacing w:after="120"/>
      </w:pPr>
      <w:r>
        <w:rPr>
          <w:rFonts w:ascii="Calibri" w:hAnsi="Calibri"/>
          <w:b w:val="0"/>
          <w:i w:val="0"/>
          <w:color w:val="666666"/>
          <w:sz w:val="22"/>
        </w:rPr>
        <w:t>Human QA: TBD (client-designated)</w:t>
      </w:r>
    </w:p>
    <w:p/>
    <w:p>
      <w:pPr>
        <w:spacing w:before="240" w:after="80"/>
      </w:pPr>
      <w:r>
        <w:rPr>
          <w:rFonts w:ascii="Calibri" w:hAnsi="Calibri"/>
          <w:b/>
          <w:i w:val="0"/>
          <w:color w:val="1A1A1A"/>
          <w:sz w:val="26"/>
        </w:rPr>
        <w:t>Core Responsibilities</w:t>
      </w:r>
    </w:p>
    <w:tbl>
      <w:tblPr>
        <w:jc w:val="left"/>
        <w:tblLook w:firstColumn="1" w:firstRow="1" w:lastColumn="0" w:lastRow="0" w:noHBand="0" w:noVBand="1" w:val="04A0"/>
        <w:tblW w:w="10080" w:type="dxa"/>
        <w:tblLayout w:type="fixed"/>
      </w:tblPr>
      <w:tblGrid>
        <w:gridCol w:w="10080"/>
      </w:tblGrid>
      <w:tr>
        <w:tc>
          <w:tcPr>
            <w:tcW w:w="10080" w:type="dxa"/>
            <w:shd w:val="clear" w:color="auto" w:fill="1A1A1A"/>
            <w:tcBorders>
              <w:top w:val="single" w:sz="4" w:space="0" w:color="D0D0D0"/>
              <w:left w:val="single" w:sz="4" w:space="0" w:color="D0D0D0"/>
              <w:bottom w:val="single" w:sz="4" w:space="0" w:color="D0D0D0"/>
              <w:right w:val="single" w:sz="4" w:space="0" w:color="D0D0D0"/>
            </w:tcBorders>
          </w:tcPr>
          <w:p>
            <w:r/>
            <w:r>
              <w:rPr>
                <w:rFonts w:ascii="Calibri" w:hAnsi="Calibri"/>
                <w:b/>
                <w:i w:val="0"/>
                <w:color w:val="FFFFFF"/>
                <w:sz w:val="22"/>
              </w:rPr>
              <w:t>Responsibility</w:t>
            </w:r>
          </w:p>
        </w:tc>
      </w:tr>
      <w:tr>
        <w:tc>
          <w:tcPr>
            <w:tcW w:w="10080"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 Capabilities: KPI tracking, process monitoring, workflow optimization, reporting automation, compliance checks</w:t>
            </w:r>
          </w:p>
        </w:tc>
      </w:tr>
    </w:tbl>
    <w:p/>
    <w:p/>
    <w:p>
      <w:pPr>
        <w:spacing w:before="240" w:after="80"/>
      </w:pPr>
      <w:r>
        <w:rPr>
          <w:rFonts w:ascii="Calibri" w:hAnsi="Calibri"/>
          <w:b/>
          <w:i w:val="0"/>
          <w:color w:val="1A1A1A"/>
          <w:sz w:val="26"/>
        </w:rPr>
        <w:t>Sage — Project Coordinator Agent</w:t>
      </w:r>
    </w:p>
    <w:p>
      <w:pPr>
        <w:spacing w:after="120"/>
      </w:pPr>
      <w:r>
        <w:rPr>
          <w:rFonts w:ascii="Calibri" w:hAnsi="Calibri"/>
          <w:b w:val="0"/>
          <w:i w:val="0"/>
          <w:color w:val="666666"/>
          <w:sz w:val="22"/>
        </w:rPr>
        <w:t>Phase: Phase 1 — Foundation (Month 1)</w:t>
      </w:r>
    </w:p>
    <w:p>
      <w:pPr>
        <w:spacing w:after="120"/>
      </w:pPr>
      <w:r>
        <w:rPr>
          <w:rFonts w:ascii="Calibri" w:hAnsi="Calibri"/>
          <w:b w:val="0"/>
          <w:i w:val="0"/>
          <w:color w:val="666666"/>
          <w:sz w:val="22"/>
        </w:rPr>
        <w:t>Reports to: Main Orchestration</w:t>
      </w:r>
    </w:p>
    <w:p>
      <w:pPr>
        <w:spacing w:after="120"/>
      </w:pPr>
      <w:r>
        <w:rPr>
          <w:rFonts w:ascii="Calibri" w:hAnsi="Calibri"/>
          <w:b w:val="0"/>
          <w:i w:val="0"/>
          <w:color w:val="666666"/>
          <w:sz w:val="22"/>
        </w:rPr>
        <w:t>Human QA: TBD (client-designated)</w:t>
      </w:r>
    </w:p>
    <w:p/>
    <w:p>
      <w:pPr>
        <w:spacing w:before="240" w:after="80"/>
      </w:pPr>
      <w:r>
        <w:rPr>
          <w:rFonts w:ascii="Calibri" w:hAnsi="Calibri"/>
          <w:b/>
          <w:i w:val="0"/>
          <w:color w:val="1A1A1A"/>
          <w:sz w:val="26"/>
        </w:rPr>
        <w:t>Core Responsibilities</w:t>
      </w:r>
    </w:p>
    <w:tbl>
      <w:tblPr>
        <w:jc w:val="left"/>
        <w:tblLook w:firstColumn="1" w:firstRow="1" w:lastColumn="0" w:lastRow="0" w:noHBand="0" w:noVBand="1" w:val="04A0"/>
        <w:tblW w:w="10080" w:type="dxa"/>
        <w:tblLayout w:type="fixed"/>
      </w:tblPr>
      <w:tblGrid>
        <w:gridCol w:w="10080"/>
      </w:tblGrid>
      <w:tr>
        <w:tc>
          <w:tcPr>
            <w:tcW w:w="10080" w:type="dxa"/>
            <w:shd w:val="clear" w:color="auto" w:fill="1A1A1A"/>
            <w:tcBorders>
              <w:top w:val="single" w:sz="4" w:space="0" w:color="D0D0D0"/>
              <w:left w:val="single" w:sz="4" w:space="0" w:color="D0D0D0"/>
              <w:bottom w:val="single" w:sz="4" w:space="0" w:color="D0D0D0"/>
              <w:right w:val="single" w:sz="4" w:space="0" w:color="D0D0D0"/>
            </w:tcBorders>
          </w:tcPr>
          <w:p>
            <w:r/>
            <w:r>
              <w:rPr>
                <w:rFonts w:ascii="Calibri" w:hAnsi="Calibri"/>
                <w:b/>
                <w:i w:val="0"/>
                <w:color w:val="FFFFFF"/>
                <w:sz w:val="22"/>
              </w:rPr>
              <w:t>Responsibility</w:t>
            </w:r>
          </w:p>
        </w:tc>
      </w:tr>
      <w:tr>
        <w:tc>
          <w:tcPr>
            <w:tcW w:w="10080"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 Capabilities: task tracking, deadline management, resource allocation, status reporting, stakeholder updates, quality checks on outputs</w:t>
            </w:r>
          </w:p>
        </w:tc>
      </w:tr>
    </w:tbl>
    <w:p/>
    <w:p/>
    <w:p>
      <w:pPr>
        <w:spacing w:before="240" w:after="80"/>
      </w:pPr>
      <w:r>
        <w:rPr>
          <w:rFonts w:ascii="Calibri" w:hAnsi="Calibri"/>
          <w:b/>
          <w:i w:val="0"/>
          <w:color w:val="1A1A1A"/>
          <w:sz w:val="26"/>
        </w:rPr>
        <w:t>Ledger — Finance &amp; AP Agent</w:t>
      </w:r>
    </w:p>
    <w:p>
      <w:pPr>
        <w:spacing w:after="120"/>
      </w:pPr>
      <w:r>
        <w:rPr>
          <w:rFonts w:ascii="Calibri" w:hAnsi="Calibri"/>
          <w:b w:val="0"/>
          <w:i w:val="0"/>
          <w:color w:val="666666"/>
          <w:sz w:val="22"/>
        </w:rPr>
        <w:t>Phase: Phase 2 — Finance + Revenue (Month 2)</w:t>
      </w:r>
    </w:p>
    <w:p>
      <w:pPr>
        <w:spacing w:after="120"/>
      </w:pPr>
      <w:r>
        <w:rPr>
          <w:rFonts w:ascii="Calibri" w:hAnsi="Calibri"/>
          <w:b w:val="0"/>
          <w:i w:val="0"/>
          <w:color w:val="666666"/>
          <w:sz w:val="22"/>
        </w:rPr>
        <w:t>Reports to: Main Orchestration</w:t>
      </w:r>
    </w:p>
    <w:p>
      <w:pPr>
        <w:spacing w:after="120"/>
      </w:pPr>
      <w:r>
        <w:rPr>
          <w:rFonts w:ascii="Calibri" w:hAnsi="Calibri"/>
          <w:b w:val="0"/>
          <w:i w:val="0"/>
          <w:color w:val="666666"/>
          <w:sz w:val="22"/>
        </w:rPr>
        <w:t>Human QA: TBD (client-designated)</w:t>
      </w:r>
    </w:p>
    <w:p/>
    <w:p>
      <w:pPr>
        <w:spacing w:before="240" w:after="80"/>
      </w:pPr>
      <w:r>
        <w:rPr>
          <w:rFonts w:ascii="Calibri" w:hAnsi="Calibri"/>
          <w:b/>
          <w:i w:val="0"/>
          <w:color w:val="1A1A1A"/>
          <w:sz w:val="26"/>
        </w:rPr>
        <w:t>Core Responsibilities</w:t>
      </w:r>
    </w:p>
    <w:tbl>
      <w:tblPr>
        <w:jc w:val="left"/>
        <w:tblLook w:firstColumn="1" w:firstRow="1" w:lastColumn="0" w:lastRow="0" w:noHBand="0" w:noVBand="1" w:val="04A0"/>
        <w:tblW w:w="10080" w:type="dxa"/>
        <w:tblLayout w:type="fixed"/>
      </w:tblPr>
      <w:tblGrid>
        <w:gridCol w:w="10080"/>
      </w:tblGrid>
      <w:tr>
        <w:tc>
          <w:tcPr>
            <w:tcW w:w="10080" w:type="dxa"/>
            <w:shd w:val="clear" w:color="auto" w:fill="1A1A1A"/>
            <w:tcBorders>
              <w:top w:val="single" w:sz="4" w:space="0" w:color="D0D0D0"/>
              <w:left w:val="single" w:sz="4" w:space="0" w:color="D0D0D0"/>
              <w:bottom w:val="single" w:sz="4" w:space="0" w:color="D0D0D0"/>
              <w:right w:val="single" w:sz="4" w:space="0" w:color="D0D0D0"/>
            </w:tcBorders>
          </w:tcPr>
          <w:p>
            <w:r/>
            <w:r>
              <w:rPr>
                <w:rFonts w:ascii="Calibri" w:hAnsi="Calibri"/>
                <w:b/>
                <w:i w:val="0"/>
                <w:color w:val="FFFFFF"/>
                <w:sz w:val="22"/>
              </w:rPr>
              <w:t>Responsibility</w:t>
            </w:r>
          </w:p>
        </w:tc>
      </w:tr>
      <w:tr>
        <w:tc>
          <w:tcPr>
            <w:tcW w:w="10080"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 Capabilities: invoice processing, payment queue (human approval), vendor management, expense categorization, financial reporting</w:t>
            </w:r>
          </w:p>
        </w:tc>
      </w:tr>
    </w:tbl>
    <w:p/>
    <w:p/>
    <w:p>
      <w:pPr>
        <w:spacing w:before="240" w:after="80"/>
      </w:pPr>
      <w:r>
        <w:rPr>
          <w:rFonts w:ascii="Calibri" w:hAnsi="Calibri"/>
          <w:b/>
          <w:i w:val="0"/>
          <w:color w:val="1A1A1A"/>
          <w:sz w:val="26"/>
        </w:rPr>
        <w:t>Workflows to Build</w:t>
      </w:r>
    </w:p>
    <w:tbl>
      <w:tblPr>
        <w:jc w:val="left"/>
        <w:tblLook w:firstColumn="1" w:firstRow="1" w:lastColumn="0" w:lastRow="0" w:noHBand="0" w:noVBand="1" w:val="04A0"/>
        <w:tblW w:w="10080" w:type="dxa"/>
        <w:tblLayout w:type="fixed"/>
      </w:tblPr>
      <w:tblGrid>
        <w:gridCol w:w="10080"/>
      </w:tblGrid>
      <w:tr>
        <w:tc>
          <w:tcPr>
            <w:tcW w:w="10080" w:type="dxa"/>
            <w:shd w:val="clear" w:color="auto" w:fill="1A1A1A"/>
            <w:tcBorders>
              <w:top w:val="single" w:sz="4" w:space="0" w:color="D0D0D0"/>
              <w:left w:val="single" w:sz="4" w:space="0" w:color="D0D0D0"/>
              <w:bottom w:val="single" w:sz="4" w:space="0" w:color="D0D0D0"/>
              <w:right w:val="single" w:sz="4" w:space="0" w:color="D0D0D0"/>
            </w:tcBorders>
          </w:tcPr>
          <w:p>
            <w:r/>
            <w:r>
              <w:rPr>
                <w:rFonts w:ascii="Calibri" w:hAnsi="Calibri"/>
                <w:b/>
                <w:i w:val="0"/>
                <w:color w:val="FFFFFF"/>
                <w:sz w:val="22"/>
              </w:rPr>
              <w:t>Workflow</w:t>
            </w:r>
          </w:p>
        </w:tc>
      </w:tr>
      <w:tr>
        <w:tc>
          <w:tcPr>
            <w:tcW w:w="10080"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 Payment Reconciliation — pull partner payment records, match against expected commissions, flag discrepancies, route disputes to human</w:t>
            </w:r>
          </w:p>
        </w:tc>
      </w:tr>
      <w:tr>
        <w:tc>
          <w:tcPr>
            <w:tcW w:w="10080" w:type="dxa"/>
            <w:shd w:val="clear" w:color="auto" w:fill="FFFFFF"/>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 Revenue Forecast — pull trailing 90-day revenue by vertical, apply trend model, produce weekly forecast, flag if &gt;10% below plan</w:t>
            </w:r>
          </w:p>
        </w:tc>
      </w:tr>
      <w:tr>
        <w:tc>
          <w:tcPr>
            <w:tcW w:w="10080"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 Anomaly Detection — monitor daily revenue, spend, and CPL, alert if any metric moves &gt;20% day-over-day without campaign change</w:t>
            </w:r>
          </w:p>
        </w:tc>
      </w:tr>
      <w:tr>
        <w:tc>
          <w:tcPr>
            <w:tcW w:w="10080" w:type="dxa"/>
            <w:shd w:val="clear" w:color="auto" w:fill="FFFFFF"/>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 Monthly Financial Report — pull all cost centers and revenue streams, compile P&amp;L summary, deliver before monthly business review</w:t>
            </w:r>
          </w:p>
        </w:tc>
      </w:tr>
    </w:tbl>
    <w:p/>
    <w:p/>
    <w:p>
      <w:pPr>
        <w:spacing w:before="240" w:after="80"/>
      </w:pPr>
      <w:r>
        <w:rPr>
          <w:rFonts w:ascii="Calibri" w:hAnsi="Calibri"/>
          <w:b/>
          <w:i w:val="0"/>
          <w:color w:val="1A1A1A"/>
          <w:sz w:val="26"/>
        </w:rPr>
        <w:t>Chase — Revenue &amp; AR Agent</w:t>
      </w:r>
    </w:p>
    <w:p>
      <w:pPr>
        <w:spacing w:after="120"/>
      </w:pPr>
      <w:r>
        <w:rPr>
          <w:rFonts w:ascii="Calibri" w:hAnsi="Calibri"/>
          <w:b w:val="0"/>
          <w:i w:val="0"/>
          <w:color w:val="666666"/>
          <w:sz w:val="22"/>
        </w:rPr>
        <w:t>Phase: Phase 2 — Finance + Revenue (Month 2)</w:t>
      </w:r>
    </w:p>
    <w:p>
      <w:pPr>
        <w:spacing w:after="120"/>
      </w:pPr>
      <w:r>
        <w:rPr>
          <w:rFonts w:ascii="Calibri" w:hAnsi="Calibri"/>
          <w:b w:val="0"/>
          <w:i w:val="0"/>
          <w:color w:val="666666"/>
          <w:sz w:val="22"/>
        </w:rPr>
        <w:t>Reports to: Main Orchestration</w:t>
      </w:r>
    </w:p>
    <w:p>
      <w:pPr>
        <w:spacing w:after="120"/>
      </w:pPr>
      <w:r>
        <w:rPr>
          <w:rFonts w:ascii="Calibri" w:hAnsi="Calibri"/>
          <w:b w:val="0"/>
          <w:i w:val="0"/>
          <w:color w:val="666666"/>
          <w:sz w:val="22"/>
        </w:rPr>
        <w:t>Human QA: TBD (client-designated)</w:t>
      </w:r>
    </w:p>
    <w:p/>
    <w:p>
      <w:pPr>
        <w:spacing w:before="240" w:after="80"/>
      </w:pPr>
      <w:r>
        <w:rPr>
          <w:rFonts w:ascii="Calibri" w:hAnsi="Calibri"/>
          <w:b/>
          <w:i w:val="0"/>
          <w:color w:val="1A1A1A"/>
          <w:sz w:val="26"/>
        </w:rPr>
        <w:t>Core Responsibilities</w:t>
      </w:r>
    </w:p>
    <w:tbl>
      <w:tblPr>
        <w:jc w:val="left"/>
        <w:tblLook w:firstColumn="1" w:firstRow="1" w:lastColumn="0" w:lastRow="0" w:noHBand="0" w:noVBand="1" w:val="04A0"/>
        <w:tblW w:w="10080" w:type="dxa"/>
        <w:tblLayout w:type="fixed"/>
      </w:tblPr>
      <w:tblGrid>
        <w:gridCol w:w="10080"/>
      </w:tblGrid>
      <w:tr>
        <w:tc>
          <w:tcPr>
            <w:tcW w:w="10080" w:type="dxa"/>
            <w:shd w:val="clear" w:color="auto" w:fill="1A1A1A"/>
            <w:tcBorders>
              <w:top w:val="single" w:sz="4" w:space="0" w:color="D0D0D0"/>
              <w:left w:val="single" w:sz="4" w:space="0" w:color="D0D0D0"/>
              <w:bottom w:val="single" w:sz="4" w:space="0" w:color="D0D0D0"/>
              <w:right w:val="single" w:sz="4" w:space="0" w:color="D0D0D0"/>
            </w:tcBorders>
          </w:tcPr>
          <w:p>
            <w:r/>
            <w:r>
              <w:rPr>
                <w:rFonts w:ascii="Calibri" w:hAnsi="Calibri"/>
                <w:b/>
                <w:i w:val="0"/>
                <w:color w:val="FFFFFF"/>
                <w:sz w:val="22"/>
              </w:rPr>
              <w:t>Responsibility</w:t>
            </w:r>
          </w:p>
        </w:tc>
      </w:tr>
      <w:tr>
        <w:tc>
          <w:tcPr>
            <w:tcW w:w="10080"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 Capabilities: invoicing, payment collection, recurring billing, aging reports, collection sequences</w:t>
            </w:r>
          </w:p>
        </w:tc>
      </w:tr>
    </w:tbl>
    <w:p/>
    <w:p/>
    <w:p>
      <w:pPr>
        <w:spacing w:before="240" w:after="80"/>
      </w:pPr>
      <w:r>
        <w:rPr>
          <w:rFonts w:ascii="Calibri" w:hAnsi="Calibri"/>
          <w:b/>
          <w:i w:val="0"/>
          <w:color w:val="E8A84C"/>
          <w:sz w:val="32"/>
        </w:rPr>
        <w:t>Signature Block</w:t>
      </w:r>
    </w:p>
    <w:p>
      <w:pPr>
        <w:spacing w:after="120"/>
      </w:pPr>
      <w:r>
        <w:rPr>
          <w:rFonts w:ascii="Calibri" w:hAnsi="Calibri"/>
          <w:b w:val="0"/>
          <w:i w:val="0"/>
          <w:color w:val="666666"/>
          <w:sz w:val="22"/>
        </w:rPr>
        <w:t>By signing below, both parties agree to the terms outlined in this Statement of Work.</w:t>
      </w:r>
    </w:p>
    <w:p/>
    <w:tbl>
      <w:tblPr>
        <w:jc w:val="left"/>
        <w:tblLook w:firstColumn="1" w:firstRow="1" w:lastColumn="0" w:lastRow="0" w:noHBand="0" w:noVBand="1" w:val="04A0"/>
        <w:tblW w:w="10080" w:type="dxa"/>
        <w:tblLayout w:type="fixed"/>
      </w:tblPr>
      <w:tblGrid>
        <w:gridCol w:w="5040"/>
        <w:gridCol w:w="5040"/>
      </w:tblGrid>
      <w:tr>
        <w:tc>
          <w:tcPr>
            <w:tcW w:w="5040" w:type="dxa"/>
            <w:shd w:val="clear" w:color="auto" w:fill="1A1A1A"/>
            <w:tcBorders>
              <w:top w:val="single" w:sz="4" w:space="0" w:color="D0D0D0"/>
              <w:left w:val="single" w:sz="4" w:space="0" w:color="D0D0D0"/>
              <w:bottom w:val="single" w:sz="4" w:space="0" w:color="D0D0D0"/>
              <w:right w:val="single" w:sz="4" w:space="0" w:color="D0D0D0"/>
            </w:tcBorders>
          </w:tcPr>
          <w:p>
            <w:r/>
            <w:r>
              <w:rPr>
                <w:rFonts w:ascii="Calibri" w:hAnsi="Calibri"/>
                <w:b/>
                <w:i w:val="0"/>
                <w:color w:val="FFFFFF"/>
                <w:sz w:val="22"/>
              </w:rPr>
              <w:t>VeloXP LLC</w:t>
            </w:r>
          </w:p>
        </w:tc>
        <w:tc>
          <w:tcPr>
            <w:tcW w:w="5040" w:type="dxa"/>
            <w:shd w:val="clear" w:color="auto" w:fill="1A1A1A"/>
            <w:tcBorders>
              <w:top w:val="single" w:sz="4" w:space="0" w:color="D0D0D0"/>
              <w:left w:val="single" w:sz="4" w:space="0" w:color="D0D0D0"/>
              <w:bottom w:val="single" w:sz="4" w:space="0" w:color="D0D0D0"/>
              <w:right w:val="single" w:sz="4" w:space="0" w:color="D0D0D0"/>
            </w:tcBorders>
          </w:tcPr>
          <w:p>
            <w:r/>
            <w:r>
              <w:rPr>
                <w:rFonts w:ascii="Calibri" w:hAnsi="Calibri"/>
                <w:b/>
                <w:i w:val="0"/>
                <w:color w:val="FFFFFF"/>
                <w:sz w:val="22"/>
              </w:rPr>
              <w:t>Chronic USA</w:t>
            </w:r>
          </w:p>
        </w:tc>
      </w:tr>
      <w:tr>
        <w:tc>
          <w:tcPr>
            <w:tcW w:w="5040"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Max Koby</w:t>
            </w:r>
          </w:p>
        </w:tc>
        <w:tc>
          <w:tcPr>
            <w:tcW w:w="5040"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r>
          </w:p>
        </w:tc>
      </w:tr>
      <w:tr>
        <w:tc>
          <w:tcPr>
            <w:tcW w:w="5040" w:type="dxa"/>
            <w:shd w:val="clear" w:color="auto" w:fill="FFFFFF"/>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CEO</w:t>
            </w:r>
          </w:p>
        </w:tc>
        <w:tc>
          <w:tcPr>
            <w:tcW w:w="5040" w:type="dxa"/>
            <w:shd w:val="clear" w:color="auto" w:fill="FFFFFF"/>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Title</w:t>
            </w:r>
          </w:p>
        </w:tc>
      </w:tr>
      <w:tr>
        <w:tc>
          <w:tcPr>
            <w:tcW w:w="5040"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Date: May 01, 2026</w:t>
            </w:r>
          </w:p>
        </w:tc>
        <w:tc>
          <w:tcPr>
            <w:tcW w:w="5040" w:type="dxa"/>
            <w:shd w:val="clear" w:color="auto" w:fill="F8F5F0"/>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Date: ________________</w:t>
            </w:r>
          </w:p>
        </w:tc>
      </w:tr>
      <w:tr>
        <w:tc>
          <w:tcPr>
            <w:tcW w:w="5040" w:type="dxa"/>
            <w:shd w:val="clear" w:color="auto" w:fill="FFFFFF"/>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Signature: ________________</w:t>
            </w:r>
          </w:p>
        </w:tc>
        <w:tc>
          <w:tcPr>
            <w:tcW w:w="5040" w:type="dxa"/>
            <w:shd w:val="clear" w:color="auto" w:fill="FFFFFF"/>
            <w:tcBorders>
              <w:top w:val="single" w:sz="4" w:space="0" w:color="D0D0D0"/>
              <w:left w:val="single" w:sz="4" w:space="0" w:color="D0D0D0"/>
              <w:bottom w:val="single" w:sz="4" w:space="0" w:color="D0D0D0"/>
              <w:right w:val="single" w:sz="4" w:space="0" w:color="D0D0D0"/>
            </w:tcBorders>
          </w:tcPr>
          <w:p>
            <w:r/>
            <w:r>
              <w:rPr>
                <w:rFonts w:ascii="Calibri" w:hAnsi="Calibri"/>
                <w:b w:val="0"/>
                <w:i w:val="0"/>
                <w:color w:val="666666"/>
                <w:sz w:val="20"/>
              </w:rPr>
              <w:t>Signature: ________________</w:t>
            </w:r>
          </w:p>
        </w:tc>
      </w:tr>
    </w:tbl>
    <w:p/>
    <w:sectPr w:rsidR="00FC693F" w:rsidRPr="0006063C" w:rsidSect="00034616">
      <w:headerReference w:type="default" r:id="rId9"/>
      <w:footerReference w:type="default" r:id="rId10"/>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Calibri" w:hAnsi="Calibri"/>
        <w:b w:val="0"/>
        <w:i w:val="0"/>
        <w:color w:val="666666"/>
        <w:sz w:val="18"/>
      </w:rPr>
      <w:t>VeloXP LLC | max@veloxp.com | (949) 490-6629</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Calibri" w:hAnsi="Calibri"/>
        <w:b/>
        <w:i w:val="0"/>
        <w:color w:val="E8A84C"/>
        <w:sz w:val="22"/>
      </w:rPr>
      <w:t>VELOXP</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